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ACPR/441/2023 vom 22. Februar 2023</w:t>
      </w:r>
    </w:p>
    <w:p>
      <w:r>
        <w:t>GE Cour de justice, 2023-02-22, FR</w:t>
      </w:r>
    </w:p>
    <w:p>
      <w:r>
        <w:rPr>
          <w:b/>
        </w:rPr>
        <w:t xml:space="preserve">Quelle: </w:t>
      </w:r>
      <w:r>
        <w:t>https://mcp.opencaselaw.ch/entscheid/ge_gerichte_ACPR_441_2023</w:t>
      </w:r>
    </w:p>
    <w:p>
      <w:r>
        <w:t>FR: GE_GERICHTE ACPR/441/2023 du 22 février 2023</w:t>
      </w:r>
    </w:p>
    <w:p>
      <w:r>
        <w:t>IT: GE_GERICHTE ACPR/441/2023 del 22 febbraio 2023</w:t>
      </w:r>
    </w:p>
    <w:p>
      <w:pPr>
        <w:pStyle w:val="Heading2"/>
      </w:pPr>
      <w:r>
        <w:t>Erwägungen</w:t>
      </w:r>
    </w:p>
    <w:p>
      <w:r>
        <w:rPr>
          <w:b/>
        </w:rPr>
        <w:t>E. 1.1</w:t>
      </w:r>
    </w:p>
    <w:p>
      <w:r>
        <w:t>Le recours a été déposé selon la forme et – faute de respect des réquisits de l'art. 85 al. 2 CPP – dans le délai prescrits (art. 385 al. 1 et 396 al. 1 CPP), concerne une ordonnance sujette à recours auprès de la Chambre de céans (art. 393 al. 1 let. a CPP) et émane du plaignant (art. 104 al. 1 let. b CPP), partie à la procédure.</w:t>
      </w:r>
    </w:p>
    <w:p>
      <w:r>
        <w:rPr>
          <w:b/>
        </w:rPr>
        <w:t>E. 1.2</w:t>
      </w:r>
    </w:p>
    <w:p>
      <w:r>
        <w:t>Reste à examiner si le recourant dispose d'un intérêt à recourir.</w:t>
      </w:r>
    </w:p>
    <w:p>
      <w:r>
        <w:rPr>
          <w:b/>
        </w:rPr>
        <w:t>E. 1.2.1</w:t>
      </w:r>
    </w:p>
    <w:p>
      <w:r>
        <w:t>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w:t>
      </w:r>
    </w:p>
    <w:p>
      <w:r>
        <w:rPr>
          <w:b/>
        </w:rPr>
        <w:t>E. 1.2.2</w:t>
      </w:r>
    </w:p>
    <w:p>
      <w:r>
        <w:t>En l'espèce, dans la mesure où le patrimoine du recourant aurait directement été lésé par les agissements du Centre, il possède un intérêt juridiquement protégé à recourir. Partant, le recours est recevable sur ce point. En revanche, le recourant n'a pas qualité à recourir pour l'éventuelle atteinte au patrimoine subie par l'assurance maladie.</w:t>
      </w:r>
    </w:p>
    <w:p>
      <w:r>
        <w:rPr>
          <w:b/>
        </w:rPr>
        <w:t>E. 2</w:t>
      </w:r>
    </w:p>
    <w:p>
      <w:r>
        <w:t>Le recourant reproche au Ministère public une violation du principe in dubio pro duriore.</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w:t>
      </w:r>
    </w:p>
    <w:p>
      <w:r>
        <w:t>- 5/8 - P/4105/2023 faits ne sont pas punissables (ATF 137 IV 285 consid. 2.3 p. 287 et les références citées). En d'autres termes, il doit être évident que les faits dénoncés ne tombent pas sous le coup de la loi pénale, ce qui est notamment le cas lors de contestations purement civiles (ATF 137 IV 285 consid. 2.3. p. 287).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rPr>
          <w:b/>
        </w:rPr>
        <w:t>E. 2.2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2.3</w:t>
      </w:r>
    </w:p>
    <w:p>
      <w:r>
        <w:t>Commet un faux dans les titres au sens de l’art. 251 CP – infraction qui constitue un crime – celui qui, dans le dessein, soit de porter atteinte aux intérêts pécuniaires ou aux droits d'autrui, soit de se procurer ou de procurer à un tiers un avantage illicite, aura constaté ou fait constater faussement, dans un titre, un fait ayant une portée juridique. Le fait pour un médecin d'adresser de fausses factures à des assurances-maladies peut être constitutif d'escroquerie (arrêts du Tribunal fédéral 6B_50/2017 du 17 octobre 2017 consid. 2 ; 6B_589/2009 du 14 septembre 2009 consid. 3.2), respectivement de faux (intellectuel) dans les titres (ATF 146 IV 258 consid. 1.1.2 p. 263).</w:t>
      </w:r>
    </w:p>
    <w:p>
      <w:r>
        <w:rPr>
          <w:b/>
        </w:rPr>
        <w:t>E. 2.4</w:t>
      </w:r>
    </w:p>
    <w:p>
      <w:r>
        <w:t>En l'espèce, les prestations justifiant les factures envoyées à tort au recourant concernant ses enfants ou son ex-conjointe ont bien été rendues, ce que le recourant ne conteste pas. À bien le comprendre, il prétend toutefois que ces dernières font</w:t>
      </w:r>
    </w:p>
    <w:p>
      <w:r>
        <w:t>- 6/8 - P/4105/2023 partie des "fausses" factures qu'il dénonce. En l'occurrence, l'envoi de ces factures semble, comme exposé par le Centre, imputable à une simple confusion, mais correspond à de véritables prestations. Elles ont été corrigées par le Centre puis rectifiées par l'assurance maladie, réparant ainsi tout éventuel préjudice. Finalement, elles n'ont pas procuré au Centre d'enrichissement illégitime dès lors qu'elles ne semblent avoir été facturées qu'une seule fois, bien que le destinataire ait pu être incorrect. Quant aux thérapies que le recourant allègue ne pas avoir suivies, force est de constater qu'à tout le moins la session du 22 décembre 2020 a été remboursée à l'assurance lors de la rectification, laissant penser qu'il s'agissait également d'une simple erreur. La session du 18 décembre 2020 ne semble pas avoir été facturée, à teneur des éléments produits. Les irrégularités dénoncées par le recourant relèvent manifestement d'inadvertances qu'une simple mention a permis de corriger, et non d'une tromperie astucieuse. À teneur du dossier, il ne peut en outre être établi si les visites sous surveillance ont été facturées au tarif E______, et, même à supposer que tel fût le cas, que cette tarification n'était pas justifiée. Quoi qu'il en soit, une telle erreur dans la tarification ne parait pas remplir les conditions d'une infraction pénale (escroquerie ou faux dans les titres). Enfin, on notera que le Centre est composé de médecins et spécialistes médicaux de différents domaines, et que, par conséquent, rien ne laisse penser que l'application du tarif E______ ne serait pas illégitime. Pour le surplus, le recourant conteste, à bien le comprendre, l'opportunité d'une "longue discussion" sur son cas en octobre 2020 et non l'existence de cette dernière. Ce point, ainsi que les autres griefs, relèvent de sujets qui échappent au contrôle des autorités de poursuite pénale. Faute de prévention pénale suffisante, la décision querellée ne prête pas le flanc à la critique.</w:t>
      </w:r>
    </w:p>
    <w:p>
      <w:r>
        <w:rPr>
          <w:b/>
        </w:rPr>
        <w:t>E. 3</w:t>
      </w:r>
    </w:p>
    <w:p>
      <w:r>
        <w:t>Justifiée, l'ordonnance querellée sera donc confirmée, ce que la Chambre de céans pouvait constater d'emblée sans procéder à un échange d'écriture ou à des débats (art. 390 al. 2 et 5 a contrario CPP).</w:t>
      </w:r>
    </w:p>
    <w:p>
      <w:r>
        <w:rPr>
          <w:b/>
        </w:rPr>
        <w:t>E. 4</w:t>
      </w:r>
    </w:p>
    <w:p>
      <w:r>
        <w:t>Le recourant, qui succombe, supportera les frais envers l'État, qui seront fixés en totalité à CHF 900.- (art. 428 al. 1 CPP et 13 al. 1 du Règlement fixant le tarif des frais en matière pénale, RTFMP ; E 4 10.03). * * * * *</w:t>
      </w:r>
    </w:p>
    <w:p>
      <w:r>
        <w:t>- 7/8 - P/4105/2023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