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ACPR/440/2025 vom 12. Mai 2025</w:t>
      </w:r>
    </w:p>
    <w:p>
      <w:r>
        <w:t>GE Cour de justice, 2025-05-12, FR</w:t>
      </w:r>
    </w:p>
    <w:p>
      <w:r>
        <w:rPr>
          <w:b/>
        </w:rPr>
        <w:t xml:space="preserve">Quelle: </w:t>
      </w:r>
      <w:r>
        <w:t>https://mcp.opencaselaw.ch/entscheid/ge_gerichte_ACPR_440_2025</w:t>
      </w:r>
    </w:p>
    <w:p>
      <w:r>
        <w:t>FR: GE_GERICHTE ACPR/440/2025 du 12 mai 2025</w:t>
      </w:r>
    </w:p>
    <w:p>
      <w:r>
        <w:t>IT: GE_GERICHTE ACPR/440/2025 del 12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les infractions en cours d'instruction, mais d'autres actes contraires à la LStup, dès lors qu'il avait déjà été soupçonné pour des faits similaires.</w:t>
      </w:r>
    </w:p>
    <w:p>
      <w:r>
        <w:t>- 6/9 - P/24962/2024 À cet égard, il existe des indices sérieux et concrets de la commission, par le recourant, de tels actes punissables, ce qu'il ne remet au demeurant pas en cause. Certes, son casier judiciaire ne comporte pas de condamnation pour infraction à l'art. 19 al. 1 LStup, mais uniquement pour des entrée et séjour illégaux (les 27 février et 15 août 2024). Toutefois, dans la présente procédure, il est mis en cause à deux reprises, soit les 6 février et 10 mai 2025, pour vente de drogue, notamment de la cocaïne. Que l'intéressé réfute pour partie ces accusations n'est pas suffisant pour annihiler tout soupçon à son égard en l'état. Ensuite, ces mises en cause, auxquelles s'ajoute sa situation personnelle – absence de domicile fixe et d'activité professionnelle avérée –, laissent craindre qu'il pourrait désormais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Il s'agit d'ailleurs d'un des cas expressément listés par la Directive A.5 du Procureur général (cf. n. 4.3) qui, bien que n'ayant pas force de loi, est fondée sur l'art. 255 al. 1bis CPP, lequel autorise l'établissement d'un profil d'ADN pour les infractions passées. Partant, la mesure querellée n'apparaît pas inutile ou disproportionnée. À titre superfétatoire, le recourant ne saurait tirer argument du fait que son profil d'ADN a d'ores et déjà été établi, "notamment" le 11 juin 2024. Dès lors que les profils d'ADN sont soumis à effacement après un certain délai (cf. art. 16 de la Loi sur les profils d'ADN; RS 363), il existe un intérêt public prépondérant, quand bien même l'établissement de son profil d'ADN aurait déjà été ordonné à une ou plusieurs reprises et son effacement n'interviendrait pas avant de nombreuses années, à soumettre derechef le prévenu à cette mesure, pour autant que les conditions légales soient à nouveau réalisées, ce qui est le cas en l'espèce. Le fait pour le Ministère public d'avoir, dans de telles circonstances, ordonné une nouvelle fois l'établissement du profil d'ADN du recourant – prolongeant ainsi de près d'un an le délai de conservation – n'apparait ainsi nullement disproportionné. Que son coût soit éventuellement mis à la charge du recourant – ce qui n'est pas évident à ce stade, dès lors que cette question ne se posera qu'à l'issue de la procédure et à la condition que l'intéressé soit condamné – n'est donc pas pertinent. En définitive, l'ordonnance querellée ne prête pas le flanc à la critique, les réquisits pour le prononcé de l'établissement du profil d'ADN du recourant étant réunis.</w:t>
      </w:r>
    </w:p>
    <w:p>
      <w:r>
        <w:rPr>
          <w:b/>
        </w:rPr>
        <w:t>E. 3</w:t>
      </w:r>
    </w:p>
    <w:p>
      <w:r>
        <w:t>Justifiée, l'ordonnance attaquée sera donc confirmée. Le recours, qui s'avère mal fondé, pouvait d'emblée être traité sans échange d'écritures ni débats (art. 390 al. 2 et 5 a contrario CPP).</w:t>
      </w:r>
    </w:p>
    <w:p>
      <w:r>
        <w:t>- 7/9 - P/24962/2024</w:t>
      </w:r>
    </w:p>
    <w:p>
      <w:r>
        <w:rPr>
          <w:b/>
        </w:rPr>
        <w:t>E. 4</w:t>
      </w:r>
    </w:p>
    <w:p>
      <w:r>
        <w:t>Le recourant, qui succombe, supportera les frais envers l'État, fixés en totalité à CHF 500.- (art. 428 al. 1 CPP et 13 al. 1 du Règlement fixant le tarif des frais en matière pénale, RTFMP; E 4 10.03).</w:t>
      </w:r>
    </w:p>
    <w:p>
      <w:r>
        <w:rPr>
          <w:b/>
        </w:rPr>
        <w:t>E. 5</w:t>
      </w:r>
    </w:p>
    <w:p>
      <w:r>
        <w:t>Corrélativement, aucun dépens ne lui est dû. * * * * *</w:t>
      </w:r>
    </w:p>
    <w:p>
      <w:r>
        <w:t>- 8/9 - P/24962/2024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