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ACPR/440/2019 vom 12. April 2019</w:t>
      </w:r>
    </w:p>
    <w:p>
      <w:r>
        <w:t>GE Cour de justice, 2019-04-12, FR</w:t>
      </w:r>
    </w:p>
    <w:p>
      <w:r>
        <w:rPr>
          <w:b/>
        </w:rPr>
        <w:t xml:space="preserve">Quelle: </w:t>
      </w:r>
      <w:r>
        <w:t>https://mcp.opencaselaw.ch/entscheid/ge_gerichte_ACPR_440_2019</w:t>
      </w:r>
    </w:p>
    <w:p>
      <w:r>
        <w:t>FR: GE_GERICHTE ACPR/440/2019 du 12 avril 2019</w:t>
      </w:r>
    </w:p>
    <w:p>
      <w:r>
        <w:t>IT: GE_GERICHTE ACPR/440/2019 del 12 aprile 2019</w:t>
      </w:r>
    </w:p>
    <w:p>
      <w:pPr>
        <w:pStyle w:val="Heading2"/>
      </w:pPr>
      <w:r>
        <w:t>Erwägungen</w:t>
      </w:r>
    </w:p>
    <w:p>
      <w:r>
        <w:rPr>
          <w:b/>
        </w:rPr>
        <w:t>E. 1</w:t>
      </w:r>
    </w:p>
    <w:p>
      <w:r>
        <w:t>Les recours ayant été interjetés par la même partie et ayant trait au même sujet, il se justifie de les joindre, de sorte que la Chambre de céans statuera par un seul et même arrêt.</w:t>
      </w:r>
    </w:p>
    <w:p>
      <w:r>
        <w:rPr>
          <w:b/>
        </w:rPr>
        <w:t>E. 2</w:t>
      </w:r>
    </w:p>
    <w:p>
      <w:r>
        <w:t>Les recours sont recevables pour avoir été déposés selon la forme et dans le délai prescrits (art. 385 al. 1 et 396 al. 1 CPP), concerner des ordonnances sujettes à recours auprès de la Chambre de céans (art. 393 al. 1 let. b CPP) et émaner du prévenu, partie à la procédure (art. 104 al. 1 let. a CPP). Si le recourant dispose d'un intérêt juridiquement protégé actuel à la modification ou à l'annulation (art. 382 al. 1 CPP) de l'ordonnance du 6 mai 2019, tel n'est plus le cas de l'ordonnance précédente, qui a été remplacée par celle-ci, de sorte que le premier recours sera déclaré sans objet.</w:t>
      </w:r>
    </w:p>
    <w:p>
      <w:r>
        <w:rPr>
          <w:b/>
        </w:rPr>
        <w:t>E. 3.1</w:t>
      </w:r>
    </w:p>
    <w:p>
      <w:r>
        <w:t>Un cas de défense obligatoire au sens de l'art. 130 CPP impose au prévenu l'assistance d'un défenseur, que celui-ci le soit à titre privé (cf. art. 129 CPP) ou désigné d'office (cf. art. 132 CPP). Dans le premier cas, le prévenu choisit librement son avocat et le rémunère lui- même. Dans la seconde hypothèse, l'autorité désigne au prévenu un défenseur, rétribué par l'Etat – à tout le moins provisoirement –, dans la mesure où la sauvegarde des droits de l'intéressé le requiert; l'autorité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(art. 132 al. 1 let. b CPP; arrêt du Tribunal fédéral 1B_461/2016 du 9 février 2017 consid. 2.1.2). L'art. 132 al. 1 let. b CPP s'applique également à des cas de défense obligatoire autres que ceux de la lettre a, notamment lorsque le prévenu, qui disposait jusqu'alors d'un défenseur de choix, voit sa situation financière évoluer au point de ne plus disposer des moyens nécessaires à la rémunération de celui-ci (arrêt du Tribunal fédéral 1B_461/2016 précité, consid. 2.2.2). Tant qu'il est question d'une première nomination d'office – comme dans l'ATF 139 IV 113 –, la question de l'abus de droit ne se pose pas. Le risque est au contraire bien réel lorsque le prévenu a décliné une première défense d'office (arrêt du Tribunal fédéral 1B_461/2016 précité, consid. 2.2.1). Dans un arrêt 1B_392/2017 du 14 décembre 2017, le Tribunal fédéral a examiné la situation d'un prévenu qui, alors qu'il bénéficiait d'un défenseur d'office, a désigné un avocat de choix, le 23 juin 2017, pour ensuite, le 27 juillet 2017, la défense d'office</w:t>
      </w:r>
    </w:p>
    <w:p>
      <w:r>
        <w:t>- 6/8 - P/11217/2017 ayant été révoquée, solliciter la désignation de son conseil de choix en qualité de défenseur d'office en raison de son indigence. La Haute Cour a estimé que l'avocat savait, au moment d'accepter le mandat privé, que son client était indigent et bénéficiait d'une défense d'office. Le mandataire pouvait soit refuser le mandat ou déposer immédiatement une demande de désignation en tant qu'avocat d'office, respectivement une requête de changement du mandataire ayant cette qualité. C'est donc en connaissance des circonstances et des risques, en particulier financiers, que l'avocat avait accepté de défendre le recourant en tant qu'avocat de choix. En l'absence de tout élément nouveau, le prévenu et son avocat ne pouvaient plus se prévaloir, en juillet 2017, des circonstances et des motifs – connus – qui existaient en juin 2017 pour obtenir la désignation de l'avocat de choix en tant que défenseur d'office. Admettre cette façon d'agir permettrait de contourner de manière inadmissible la procédure prévue à l'art. 134 al. 2 CPP pour obtenir le changement d'un avocat d'office. Ce raisonnement valait d'autant plus au regard du peu de temps écoulé entre la date de l'annonce du mandat de choix et celle du dépôt de la demande d'une défense d'office (consid. 2.3).</w:t>
      </w:r>
    </w:p>
    <w:p>
      <w:r>
        <w:rPr>
          <w:b/>
        </w:rPr>
        <w:t>E. 3.2</w:t>
      </w:r>
    </w:p>
    <w:p>
      <w:r>
        <w:t>En l'espèce, le recourant, qui se trouve dans un cas de défense obligatoire au sens de l'art. 130 let a CPP, a bénéficié, dans un premier temps, d'une défense d'office. Se plaignant de l'activité de son défenseur d'office, il n'a toutefois pas obtenu sa révocation ni n'a recouru contre le refus du Ministère public, signifié par ordonnance du 3 juillet 2018. Le 18 juillet 2018, il a constitué un avocat de choix, qu'il était tenu de rémunérer, et la défense d'office a été révoquée. Huit mois plus tard, le 29 mars 2019, invoquant son indigence il a demandé à être mis à nouveau au bénéfice d'un défenseur d'office, en la personne de son conseil. Dans la mesure où le recourant n'invoque pas de modification de sa situation personnelle – contrairement au cas de l'arrêt 1B_461/2016 sus-évoqué – entre le moment où il a, en juillet 2018, renoncé à la défense d'office au profit d'un avocat de choix, et, en mars 2019, demandé à être mis à nouveau au bénéfice de la défense d'office, la question de l'abus de droit se pose. On comprend des explications du recourant qu'il allègue, d'une part, une modification dans la situation personnelle de ses parents – qui auraient semble-t-il accepté de rémunérer son avocat de choix à hauteur de CHF 5'000.- mais ne pourraient plus le faire désormais –, et, d'autre part, une durée de la procédure plus longue que celle envisagée par son conseil lorsqu'il a accepté le mandat. Cette situation s'apparente à celle de l'arrêt du Tribunal fédéral 1B_392/2017 susmentionné, à la différence près que dans cette affaire-là, le prévenu n'avait invoqué aucune modification, d'une quelconque nature, et avait demandé la nomination d'office de son avocat de choix un mois seulement après avoir renoncé à la défense d'office. Dans le cas présent, on ne saurait retenir, compte tenu des huit mois qui se sont écoulés entre la révocation de la défense d'office et la nouvelle demande, ainsi que du</w:t>
      </w:r>
    </w:p>
    <w:p>
      <w:r>
        <w:t>- 7/8 - P/11217/2017 paiement présumé par la famille du prévenu des honoraires de l'avocat de choix durant cette période, que le recourant aurait décliné la première défense d'office pour contourner de manière inadmissible la procédure prévue à l'art. 134 al. 2 CPP dans le seul but d'obtenir le changement d'avocat d'office. On doit par ailleurs admettre que, bien que peu détaillées et non traduites, les pièces produites rendent vraisemblables que les parents du recourant se trouvent dans une situation économique peu favorable de sorte qu'il ne peut être attendu d'eux qu'ils continuent de prêter de l'argent au prévenu pour continuer d'assurer sa défense de choix. Il s'ensuit que, la condition de l'indigence du recourant ayant été admise par le Ministère public au début de la détention du recourant, qui se poursuit, ce dernier sera mis au bénéfice d'une défense d'office, au sens de l'art. 132 al. 1 let. b CPP dès le 29 mars 2019, date de la demande, l'effet rétroactif demandé – au 7 mars 2019 – n'étant pas justifié. La défense du recourant ayant été assurée par Me C______ à l'audience de jugement, cet avocat sera désigné en qualité de défenseur d'office.</w:t>
      </w:r>
    </w:p>
    <w:p>
      <w:r>
        <w:rPr>
          <w:b/>
        </w:rPr>
        <w:t>E. 4</w:t>
      </w:r>
    </w:p>
    <w:p>
      <w:r>
        <w:t>Fondé, le recours doit être admis ; partant, l'ordonnance querellée sera annulée. La défense d'office du recourant sera admise à compter du 29 mars 2019 et Me C______ désigné à cet effet. Pour respecter le principe du double degré de juridiction cantonal, l'avocat sera invité à transmettre à l'autorité précédente sa note de frais pour la taxation de ses honoraires.</w:t>
      </w:r>
    </w:p>
    <w:p>
      <w:r>
        <w:rPr>
          <w:b/>
        </w:rPr>
        <w:t>E. 5</w:t>
      </w:r>
    </w:p>
    <w:p>
      <w:r>
        <w:t>L'admission du recours ne donne pas lieu à la perception de frais (art. 428 al. 1 CPP).</w:t>
      </w:r>
    </w:p>
    <w:p>
      <w:r>
        <w:rPr>
          <w:b/>
        </w:rPr>
        <w:t>E. 6</w:t>
      </w:r>
    </w:p>
    <w:p>
      <w:r>
        <w:t>L'avocat a produit ses notes de frais pour l'activité déployée à l'appui des deux recours. Compte tenu de l'issue, il y a lieu d'indemniser le défenseur d'office également pour le recours déclaré sans objet, dès lors qu'il était fondé. S'agissant du premier recours, la visite du client en prison (30') et le temps de rédaction (180') seront admis, au tarif de chef d'étude (CHF 200.-). En revanche, le forfait correspondance et appels ne sera pas retenu, faute de pertinence pour la procédure de recours. Ainsi, l'indemnité se chiffre à CHF 700.-, plus TVA. Quant au second recours (facturé à raison de 210' pour l'avocat stagiaire et 120' pour le chef d'étude), l'activité utile sera ramenée à 120' pour le premier (à CHF 120.-) et 30' pour le second (à CHF 200.-), l'écriture présentant, pour l'essentiel, le même contenu que celui du premier recours. L'indemnité sera ainsi arrêtée à CHF 340.-, plus TVA. Au total, l'indemnité due au défenseur d'office pour la procédure de recours sera donc arrêtée à CHF 1'120.- (700 + 340 + 7.7%). * * * * *</w:t>
      </w:r>
    </w:p>
    <w:p>
      <w:r>
        <w:t>- 8/8 - P/11217/2017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