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ACPR/439/2024 vom 9. April 2024</w:t>
      </w:r>
    </w:p>
    <w:p>
      <w:r>
        <w:t>GE Cour de justice, 2024-04-09, FR</w:t>
      </w:r>
    </w:p>
    <w:p>
      <w:r>
        <w:rPr>
          <w:b/>
        </w:rPr>
        <w:t xml:space="preserve">Quelle: </w:t>
      </w:r>
      <w:r>
        <w:t>https://mcp.opencaselaw.ch/entscheid/ge_gerichte_ACPR_439_2024</w:t>
      </w:r>
    </w:p>
    <w:p>
      <w:r>
        <w:t>FR: GE_GERICHTE ACPR/439/2024 du 9 avril 2024</w:t>
      </w:r>
    </w:p>
    <w:p>
      <w:r>
        <w:t>IT: GE_GERICHTE ACPR/439/2024 del 9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et émaner du Ministère public qui, partie à la procédure (art. 104 al. 1 let. c CPP), a qualité pour agir (art. 38 al. 2 LaCP cum art. 381 al. 3 CPP).</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23 janvier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al. 1 CPP, toute communication doit être notifiée au domicile du destinataire.</w:t>
      </w:r>
    </w:p>
    <w:p>
      <w:r>
        <w:t>Cette disposition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t>- 6/9 - P/12813/2023</w:t>
      </w:r>
    </w:p>
    <w:p>
      <w:r>
        <w:t>3.3.1. 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t>3.3.2. 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t>3.3.3. Le prévenu qui a été entendu par la police et informé des charges pesant contre lui doit s'attendre à recevoir des communications de la part de l'autorité pénale; il est donc tenu de relever son courrier ou de prendre des dispositions pour que celui-ci lui parvienne néanmoins (arrêt du Tribunal fédéral 6B_880/2022 du 30 janvier 2023 consid. 2.1).</w:t>
      </w:r>
    </w:p>
    <w:p>
      <w:r>
        <w:rPr>
          <w:b/>
        </w:rPr>
        <w:t>E. 3.4</w:t>
      </w:r>
    </w:p>
    <w:p>
      <w:r>
        <w:t>Une notification irrégulière ne doit entraîner aucun préjudice pour son destinataire (arrêt du Tribunal fédéral 6B_552/2015 du 3 août 2016 consid. 2.5). L'on déduit du principe de la bonne foi (art. 5 al. 3 Cst féd. et 3 al. 2 let. a CPP) l'interdiction des comportements contradictoires, celle-ci concernant en particulier les autorités pénales (arrêt du Tribunal fédéral 7B_101_2023 du 12 février 2024 consid. 2.2.2).</w:t>
      </w:r>
    </w:p>
    <w:p>
      <w:r>
        <w:rPr>
          <w:b/>
        </w:rPr>
        <w:t>E. 3.5</w:t>
      </w:r>
    </w:p>
    <w:p>
      <w:r>
        <w:t>En l'espèce, si l'intimé a, lors de son audition par la police le 22 avril 2023, indiqué avoir sa résidence secondaire à B______, soit près du lieu où il avait été interpellé, il n'apparaît pas qu'il ait désigné l'adresse sise route 3______ no. ______, [code postal] B______ comme domicile de notification des actes de la procédure. Tant le procès-verbal d'audition que le formulaire de situation personnelle et financière, qu'il a dûment signés, mentionnent son adresse à la rue 2______ no. ______, [code postal] C______. Or, le recourant n'expose nullement pour quel motif il a signé ces documents si ceux-ci n'indiquaient pas l'adresse de notification qu'il voulait voir désignée.</w:t>
      </w:r>
    </w:p>
    <w:p>
      <w:r>
        <w:t>- 7/9 - P/12813/2023 Peu importe dès lors que l'avis d'arrestation/de libération du Ministère public du 22 avril 2023 mentionne l'adresse de B______. Partant, l'audition du gendarme D______ s'avère non pertinente. L'adresse de B______ ne saurait davantage valoir domicile de notification au motif que l'Office cantonal des véhicules y aurait envoyé son pli du 6 novembre 2023. Il ressort en effet du dossier que c'est à l'occasion d'une demande de permis de conduire formulée le 3 août 2023 auprès de cette autorité administrative – ce qui est ainsi sans lien avec l'évènement du 22 avril 2023 – que le prévenu avait mentionné cette adresse. On ne voit dès lors pas comment le Ministère public aurait pu en avoir connaissance au moment de la notification de son ordonnance pénale, quelques jours plus tard. À relever encore que si le Ministère public, auprès duquel le pli contenant ladite ordonnance avait été retourné comme non réclamé, avait alors consulté les registres du contrôle de l'habitant, il aurait constaté que l'adresse du prévenu était bien celle de [la commune de] C______, le changement d'adresse n'ayant été effectué que le 1er février 2024, l'intéressé ayant admis ne pas l'avoir immédiatement annoncé. Il en résulte que c'est à bon droit que le Ministère public a envoyé son ordonnance pénale du 8 novembre 2023 par pli recommandé au prévenu à son adresse à C______. Les éléments du dossier ne permettent pas de douter que l’avis de retrait postal lui soit bien parvenu, le 16 novembre 2023. Cela est d'autant plus vrai que le bordereau après jugement du 14 janvier 2024 a bien pu être réceptionné à l'adresse de C______. L'intéressé n'ayant pas retiré le pli à l'échéance du délai de garde, le 23 novembre 2023, celui-ci a été retourné à son expéditeur le lendemain. Le précité devait s'attendre à recevoir une décision judiciaire puisqu'il avait été interpellé par la police le 22 avril 2023 et auditionné par elle le même jour comme prévenu. Au vu de ce qui précède, la fiction de la notification à l'échéance du délai de garde de l'art. 85 al. 4 let. a CPP lui est donc opposable. On ne décèle ainsi aucune violation du principe de la bonne foi par le Ministère public. Formée le 23 janvier 2024, l'opposition est par conséquent tardive.</w:t>
      </w:r>
    </w:p>
    <w:p>
      <w:r>
        <w:t>- 8/9 - P/12813/2023 Partant, le recours se révèle fondé et doit être admis. La décision querellée sera dès lors annulée et il sera constaté que l'ordonnance pénale du 8 novembre 2023 est assimilée à un jugement entré en force.</w:t>
      </w:r>
    </w:p>
    <w:p>
      <w:r>
        <w:rPr>
          <w:b/>
        </w:rPr>
        <w:t>E. 4</w:t>
      </w:r>
    </w:p>
    <w:p>
      <w:r>
        <w:t>L'admission du recours ne donne pas lieu à la perception de frais (art. 428 al. 1 CPP).</w:t>
      </w:r>
    </w:p>
    <w:p>
      <w:r>
        <w:rPr>
          <w:b/>
        </w:rPr>
        <w:t>E. 5</w:t>
      </w:r>
    </w:p>
    <w:p>
      <w:r>
        <w:t>L'intimé, succombant, ne peut prétendre à des dépens. * * * * *</w:t>
      </w:r>
    </w:p>
    <w:p>
      <w:r>
        <w:t>- 9/9 - P/12813/2023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