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ACPR/439/2019 vom 22. Mai 2019</w:t>
      </w:r>
    </w:p>
    <w:p>
      <w:r>
        <w:t>GE Cour de justice, 2019-05-22, FR</w:t>
      </w:r>
    </w:p>
    <w:p>
      <w:r>
        <w:rPr>
          <w:b/>
        </w:rPr>
        <w:t xml:space="preserve">Quelle: </w:t>
      </w:r>
      <w:r>
        <w:t>https://mcp.opencaselaw.ch/entscheid/ge_gerichte_ACPR_439_2019</w:t>
      </w:r>
    </w:p>
    <w:p>
      <w:r>
        <w:t>FR: GE_GERICHTE ACPR/439/2019 du 22 mai 2019</w:t>
      </w:r>
    </w:p>
    <w:p>
      <w:r>
        <w:t>IT: GE_GERICHTE ACPR/439/2019 del 22 maggio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s'exprime pas sur les charges, qu'il avait admises par-devant le Ministère public et n'a pas discutées devant le premier juge. Il n'y a donc pas à s'y attarder.</w:t>
      </w:r>
    </w:p>
    <w:p>
      <w:r>
        <w:rPr>
          <w:b/>
        </w:rPr>
        <w:t>E. 3</w:t>
      </w:r>
    </w:p>
    <w:p>
      <w:r>
        <w:t>Le recourant conteste tout risque de réitération.</w:t>
      </w:r>
    </w:p>
    <w:p>
      <w:r>
        <w:rPr>
          <w:b/>
        </w:rPr>
        <w:t>E. 3.1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135 I 71 consid. 2.3 p. 73; 133 I 270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w:t>
      </w:r>
    </w:p>
    <w:p>
      <w:r>
        <w:t>- 4/6 - P/8954/2019 consid. 3/4 p. 18 ss; cf. arrêt du Tribunal fédéral 1B_133/2011 du 12 avril 2011 consid. 4.7).</w:t>
      </w:r>
    </w:p>
    <w:p>
      <w:r>
        <w:rPr>
          <w:b/>
        </w:rPr>
        <w:t>E. 3.2</w:t>
      </w:r>
    </w:p>
    <w:p>
      <w:r>
        <w:t>En l'espèce, le risque de réitération est concret. Dans l'intervalle d'un mois, le recourant s'est livré à deux vols à l'étalage pour des montants qui ne sont pas insignifiants et dont les butins, comme l'a relevé le premier juge, ne sont pas précisément des biens de première nécessité. Ces faits sont, en outre, ceux d'une récidive spéciale, c'est-à-dire d'infractions de même genre, réprimées il y a moins d'une année. On ne voit pas en quoi la paternité du recourant le dissuaderait, aujourd'hui plus qu'hier, de la commission de nouvelles infractions, puisque, comme l'a aussi relevé le premier juge, ni le premier enfant ni la grossesse de sa compagne ne l'ont retenu d'agir. Le pronostic est donc très défavorable. Quant à l'effet de la détention, il ne paraît pas aller au-delà du poids psychique inhérent à toute privation de liberté. Savoir si cet effet dissuadera le recourant de commettre à nouveau des vols à l'étalage n'est pas l'affaire du juge de la détention, mais du juge du fond.</w:t>
      </w:r>
    </w:p>
    <w:p>
      <w:r>
        <w:rPr>
          <w:b/>
        </w:rPr>
        <w:t>E. 4</w:t>
      </w:r>
    </w:p>
    <w:p>
      <w:r>
        <w:t>Le risque de réitération suffisant à faire échec au recours, il n'est pas nécessaire d'examiner ce qu'il en serait du risque de fuite.</w:t>
      </w:r>
    </w:p>
    <w:p>
      <w:r>
        <w:rPr>
          <w:b/>
        </w:rPr>
        <w:t>E. 5</w:t>
      </w:r>
    </w:p>
    <w:p>
      <w:r>
        <w:t>Pour le surplus, le recourant ne se plaint pas, à juste titre, que son maintien en détention violerait le principe de la proportionnalité. S'il devait être reconnu coupable des préventions retenues contre lui, la peine susceptible d'entrer concrètement en considération ne paraît pas devoir être inférieure à la durée de sa privation actuelle de liberté (art. 212 al. 3 CPP). Par ailleurs, la clôture de l'instruction est imminente, rapprochant d'autant la date de l'audience de jugement.</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E 4 10.03).</w:t>
      </w:r>
    </w:p>
    <w:p>
      <w:r>
        <w:t>* * * * *</w:t>
      </w:r>
    </w:p>
    <w:p>
      <w:r>
        <w:t>- 5/6 - P/8954/2019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