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ACPR/438/2023 vom 30. März 2023</w:t>
      </w:r>
    </w:p>
    <w:p>
      <w:r>
        <w:t>GE Cour de justice, 2023-03-30, FR</w:t>
      </w:r>
    </w:p>
    <w:p>
      <w:r>
        <w:rPr>
          <w:b/>
        </w:rPr>
        <w:t xml:space="preserve">Quelle: </w:t>
      </w:r>
      <w:r>
        <w:t>https://mcp.opencaselaw.ch/entscheid/ge_gerichte_ACPR_438_2023</w:t>
      </w:r>
    </w:p>
    <w:p>
      <w:r>
        <w:t>FR: GE_GERICHTE ACPR/438/2023 du 30 mars 2023</w:t>
      </w:r>
    </w:p>
    <w:p>
      <w:r>
        <w:t>IT: GE_GERICHTE ACPR/438/2023 del 30 marzo 2023</w:t>
      </w:r>
    </w:p>
    <w:p>
      <w:pPr>
        <w:pStyle w:val="Heading2"/>
      </w:pPr>
      <w:r>
        <w:t>Erwägungen</w:t>
      </w:r>
    </w:p>
    <w:p>
      <w:r>
        <w:rPr>
          <w:b/>
        </w:rPr>
        <w:t>E. 1</w:t>
      </w:r>
    </w:p>
    <w:p>
      <w:r>
        <w:t>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w:t>
      </w:r>
    </w:p>
    <w:p>
      <w:r>
        <w:rPr>
          <w:b/>
        </w:rPr>
        <w:t>E. 3</w:t>
      </w:r>
    </w:p>
    <w:p>
      <w:r>
        <w:t>La recourante reproche au Ministère public de ne pas être entré en matière sur sa plainte. Elle invoque une violation des art. 310 al. 1 let. a CPP, 137, 138 et 139 CP, mais concentre ses développements sur les notions de choses mobilières et d’enrichissement illégitime.</w:t>
      </w:r>
    </w:p>
    <w:p>
      <w:r>
        <w:t>- 4/8 - P/12446/2022</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 (arrêt du Tribunal fédéral 6B_1456/2017 du 14 mai 2018 consid. 4.1 et les références citées). Celui-ci découle du principe de la légalité (art. 5 al. 1 Cst. et 2 al. 1 CPP en relation avec les art. 309 al. 1, 319 al. 1 et 324 CPP; ATF 138 IV 86 consid. 4.2) et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d'un 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(Y. JEANNERET / A. KUHN / C. PERRIER DEPEURSINGE (éds), Commentaire romand : Code de procédure pénale suisse, 2ème éd., Bâle 2019, n. 9 ad art. 310). Une non-entrée en matière s'impose également lorsque le litige est de nature purement civile (ATF 137 IV 285 consid. 2.3 p. 287 s.).</w:t>
      </w:r>
    </w:p>
    <w:p>
      <w:r>
        <w:rPr>
          <w:b/>
        </w:rPr>
        <w:t>E. 3.2</w:t>
      </w:r>
    </w:p>
    <w:p>
      <w:r>
        <w:t>En l’espèce, une constatation s’impose d’emblée : il n’existe pas le moindre indice que les classeurs photographiés contiendraient bel et bien des documents propriété de la recourante, quand bien même celle-ci (et le Ministère public au passage dans lequel il retient qu’il ne s’agirait pas d’originaux) part de cette hypothèse. En premier lieu, un représentant de la recourante a affirmé qu’aucun vol n’avait été constaté dans les locaux de l’association. En outre, la capture d’écran comportant la photographie litigieuse ne permet aucunement, quoi qu’en dise la</w:t>
      </w:r>
    </w:p>
    <w:p>
      <w:r>
        <w:t>- 5/8 - P/12446/2022 recourante, d’y voir, ni même d’y deviner, son logo. Fût-ce le cas que cette circonstance n’appuierait pas encore le contenu réel des classeurs (et fourres) ainsi visibles. On ne sait même pas si – ni, dans l’affirmative, comment – les classeurs remis à la police en vue de restitution à la recourante réunissaient effectivement des pièces lui appartenant – alors qu’elle n’en avait pas constaté la disparition –. En d’autres termes, la recourante se livre à des conjectures qu’elle nourrit en reliant les messages immédiatement subséquents du mis en cause (« de quoi me défendre contre A______ » et « je gardais tout ») avec les allégués ultérieurs de la demande en justice qu’il a déposée contre elle.</w:t>
      </w:r>
    </w:p>
    <w:p>
      <w:r>
        <w:rPr>
          <w:b/>
        </w:rPr>
        <w:t>E. 3.3</w:t>
      </w:r>
    </w:p>
    <w:p>
      <w:r>
        <w:t>D’autres raisons encore font échec aux moyens du recours.</w:t>
      </w:r>
    </w:p>
    <w:p>
      <w:r>
        <w:rPr>
          <w:b/>
        </w:rPr>
        <w:t>E. 3.3.1</w:t>
      </w:r>
    </w:p>
    <w:p>
      <w:r>
        <w:t>L’accusation d’abus de confiance peut être écartée, dès lors qu’il n’est ni allégué ni établi que des documents quelconques aient jamais été confiés au mis en cause, au sens de l’art. 138 CP, i.e. qu’ils lui aient été remis ou laissés pour qu'il les utilise de manière déterminée dans l'intérêt d'autrui, en particulier pour les conserver, les administrer ou les livrer selon des instructions qui peuvent être expresses ou tacites (ATF 120 IV 276 consid. 2). Au demeurant, soustraction et chose confiée s’excluent l’une l’autre.</w:t>
      </w:r>
    </w:p>
    <w:p>
      <w:r>
        <w:rPr>
          <w:b/>
        </w:rPr>
        <w:t>E. 3.3.2</w:t>
      </w:r>
    </w:p>
    <w:p>
      <w:r>
        <w:t>Quant à elle, l’infraction de vol suppose, d’un point de vue subjectif, que l'auteur ait agi intentionnellement, dans le dessein de s'approprier une chose mobilière appartenant à autrui et dans celui de se procurer ainsi, ou de procurer ainsi à autrui, un enrichissement illégitime. L’auteur doit agir dans un dessein d’appropriation, autrement dit il doit avoir la volonté de dépouiller durablement l’ayant droit pour incorporer l’objet spolié à son patrimoine (ACPR/604/2021 du 20 septembre 2021 consid. 2.2.1. et la référence). Il y a enrichissement – amélioration de la situation patrimoniale – illégitime si l'auteur ne peut valablement y prétendre (ATF 105 IV 29 consid. 3a). Par enrichissement, on entend la réalisation d'un dommage, à savoir une lésion au patrimoine de la victime sous la forme d'une diminution de l'actif, d'une augmentation du passif, d'une non-augmentation de l'actif ou d'une non-diminution du passif, mais aussi d'une mise en danger de celui-ci telle qu'elle a pour effet d'en diminuer la valeur du point de vue économique (ATF 121 IV 104 consid. 2c). Or, on ne voit pas en quoi les faits dénoncés montreraient que le mis en cause voulait « s’approprier » des documents de la recourante, fussent-ils des copies, et encore moins comment, à ce stade, son action pécuniaire en justice dénoterait sa volonté de « s’enrichir » au détriment de celle-ci, c’est-à-dire de se faire accorder un avantage patrimonial auquel il n’avait pas droit. Il suffit de constater que la possession de pièces par hypothèse soustraites à la recourante ne lui procure en elle-même aucun enrichissement.</w:t>
      </w:r>
    </w:p>
    <w:p>
      <w:r>
        <w:t>- 6/8 - P/12446/2022 On ne voit pas non plus en quoi cette possession aurait causé un dommage (économique) à la recourante, qui se prévaut exclusivement de la confidentialité « absolue » de données « sensibles » liées à son activité associative et à ses membres pour en demander le séquestre. Il n’est d’ailleurs pas prétendu que de telles pièces avaient en elles-mêmes une quelconque « valeur ».</w:t>
      </w:r>
    </w:p>
    <w:p>
      <w:r>
        <w:rPr>
          <w:b/>
        </w:rPr>
        <w:t>E. 3.3.3</w:t>
      </w:r>
    </w:p>
    <w:p>
      <w:r>
        <w:t>Pour les mêmes motifs, l’art. 137 CP, subsidiaire aux dispositions légales susmentionnées, comme l’indique la teneur de son ch. 1 in fine, n’entre pas en considération.</w:t>
      </w:r>
    </w:p>
    <w:p>
      <w:r>
        <w:rPr>
          <w:b/>
        </w:rPr>
        <w:t>E. 3.4</w:t>
      </w:r>
    </w:p>
    <w:p>
      <w:r>
        <w:t>Le séquestre du contenu des classeurs, que la recourante demande par deux fois dans ses conclusions, n’apparaît pas susceptible d'apporter d'élément complémentaire probant sur aucun des aspects susmentionnés.</w:t>
      </w:r>
    </w:p>
    <w:p>
      <w:r>
        <w:rPr>
          <w:b/>
        </w:rPr>
        <w:t>E. 4</w:t>
      </w:r>
    </w:p>
    <w:p>
      <w:r>
        <w:t>Il ressort de ce qui précède que rien ne permet de fonder un soupçon suffisant d’infraction. Partant, c'est à juste titre que le Ministère public n'est pas entré en matière sur les faits dénoncés.</w:t>
      </w:r>
    </w:p>
    <w:p>
      <w:r>
        <w:rPr>
          <w:b/>
        </w:rPr>
        <w:t>E. 5</w:t>
      </w:r>
    </w:p>
    <w:p>
      <w:r>
        <w:t>La recourante, qui succombe, supportera les frais envers l'État, qui seront fixés en totalité à CHF 1'200.- (art. 428 al. 1 CPP et 13 al. 1 du Règlement fixant le tarif des frais en matière pénale, RTFMP; E 4 10.03). * * * * *</w:t>
      </w:r>
    </w:p>
    <w:p>
      <w:r>
        <w:t>- 7/8 - P/12446/2022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