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ACPR/436/2025 vom 14. Mai 2025</w:t>
      </w:r>
    </w:p>
    <w:p>
      <w:r>
        <w:t>GE Cour de justice, 2025-05-14, FR</w:t>
      </w:r>
    </w:p>
    <w:p>
      <w:r>
        <w:rPr>
          <w:b/>
        </w:rPr>
        <w:t xml:space="preserve">Quelle: </w:t>
      </w:r>
      <w:r>
        <w:t>https://mcp.opencaselaw.ch/entscheid/ge_gerichte_ACPR_436_2025</w:t>
      </w:r>
    </w:p>
    <w:p>
      <w:r>
        <w:t>FR: GE_GERICHTE ACPR/436/2025 du 14 mai 2025</w:t>
      </w:r>
    </w:p>
    <w:p>
      <w:r>
        <w:t>IT: GE_GERICHTE ACPR/436/2025 del 14 maggio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t>- 4/7 - P/28795/2024 Bien que limite sous l'angle de la condition de la motivation suffisante, le recours, en tant qu'il émane d'un justiciable en personne, sera néanmoins considéré comme recevable (art. 385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s'oppose à l'établissement de son profil d'ADN.</w:t>
      </w:r>
    </w:p>
    <w:p>
      <w:r>
        <w:rPr>
          <w:b/>
        </w:rPr>
        <w:t>E. 3.1</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3.2</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 ci, mais il faudra tenir compte de cet élément dans la pesée d'intérêts à réaliser (ATF 145 IV 263 consid. 3.4 et les références citées; arrêts du Tribunal fédéral 1B_259/2022 du 23 juin 2023 consid. 4.3; 1B_230/2022 du 7 septembre 2022 consid. 2.2).</w:t>
      </w:r>
    </w:p>
    <w:p>
      <w:r>
        <w:rPr>
          <w:b/>
        </w:rPr>
        <w:t>E. 3.3</w:t>
      </w:r>
    </w:p>
    <w:p>
      <w:r>
        <w:t>En l'espèce, l'établissement du profil d'ADN du recourant a été ordonné pour élucider, non pas les infractions en cours d'instruction, mais des infractions passées, dès lors qu'il avait déjà été soupçonné d'avoir commis une infraction susceptible d'être élucidée au moyen de l'ADN. À cet égard, il existe des indices sérieux et concrets de la commission, par le recourant, de tels actes punissables. En effet, il ressort de l'extrait de son casier judiciaire qu'il a déjà été condamné à trois reprises, entre les mois d'août 2021 et novembre 2024, pour des infractions contre le patrimoine (vol simple, tentative de vol simple), l'une de ces condamnations ayant également impliqué une violation de domicile et des dommages à la propriété. Dans la présente procédure, il était en outre fortement soupçonné, nonobstant ses dénégations, d'avoir brisé la vitre d'un véhicule, avant de s'emparer d'une somme d'argent se trouvant à l'intérieur de celui-ci, les policiers chargés de l'enquête ayant été en mesure de l'identifier sur la base des images remises par le plaignant. C'est d'ailleurs précisément en raison de ces soupçons que le Ministère public l'a condamné, par</w:t>
      </w:r>
    </w:p>
    <w:p>
      <w:r>
        <w:t>- 5/7 - P/28795/2024 ordonnance pénale rendue le 14 mai 2025 – soit le même jour que la décision ici querellée –, ordonnance contre laquelle le recourant n'a pas formé opposition. Ces éléments, auxquels s'ajoute la situation personnelle du recourant, laissent craindre un ancrage dans la délinquance, plus particulièrement en lien avec des infractions contre le patrimoine – commises concomitamment ou non avec des violations de domicile et/ou des dommages à la propriété –, et permettent de penser qu'il pourrait être impliqué dans d'autres infractions similaires encore inconnues des autorités, qui pourraient lui être attribuées si l'on était en mesure de comparer son profil d'ADN à des traces prélevées sur les lieux de leur commission. Enfin, les infractions de vol (art. 139 CP), dommages à la propriété (art. 144 CP) et violation de domicile (art. 186 CP) susceptibles d'être élucidées revêtent une certaine gravité. Il s'agit d'ailleurs de trois cas expressément listés par la Directive A.5 du Procureur général (cf. n. 4.3) qui, bien que n'ayant pas force de loi, est fondée sur l'art. 255 al. 1bis CPP, lequel autorise l'établissement d'un profil d'ADN pour des crimes et délits passés. En définitive, l'ordonnance querellée ne prête pas le flanc à la critique, les réquisits pour le prononcé de l'établissement du profil d'ADN du recourant étant réunis.</w:t>
      </w:r>
    </w:p>
    <w:p>
      <w:r>
        <w:rPr>
          <w:b/>
        </w:rPr>
        <w:t>E. 4</w:t>
      </w:r>
    </w:p>
    <w:p>
      <w:r>
        <w:t>Justifiée, l'ordonnance querellée sera donc confirmée.</w:t>
      </w:r>
    </w:p>
    <w:p>
      <w:r>
        <w:rPr>
          <w:b/>
        </w:rPr>
        <w:t>E. 5</w:t>
      </w:r>
    </w:p>
    <w:p>
      <w:r>
        <w:t>Le recourant, qui succombe, supportera les frais envers l'État, fixés en totalité à CHF 500.- (art. 428 al. 1 CPP et 13 al. 1 du Règlement fixant le tarif des frais en matière pénale, RTFMP ; E 4 10.03). * * * * *</w:t>
      </w:r>
    </w:p>
    <w:p>
      <w:r>
        <w:t>- 6/7 - P/28795/2024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