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ACPR/436/2022 vom 3. Juni 2022</w:t>
      </w:r>
    </w:p>
    <w:p>
      <w:r>
        <w:t>GE Cour de justice, 2022-06-03, FR</w:t>
      </w:r>
    </w:p>
    <w:p>
      <w:r>
        <w:rPr>
          <w:b/>
        </w:rPr>
        <w:t xml:space="preserve">Quelle: </w:t>
      </w:r>
      <w:r>
        <w:t>https://mcp.opencaselaw.ch/entscheid/ge_gerichte_ACPR_436_2022</w:t>
      </w:r>
    </w:p>
    <w:p>
      <w:r>
        <w:t>FR: GE_GERICHTE ACPR/436/2022 du 3 juin 2022</w:t>
      </w:r>
    </w:p>
    <w:p>
      <w:r>
        <w:t>IT: GE_GERICHTE ACPR/436/2022 del 3 giugno 2022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recours, en tant qu'il a été déposé dans le délai prescrit et concerne une décision rendue par le SAPEM dans une matière pour laquelle il est compétent compétent [art. 40 al. 1 et 5 al. 2 let. e de la Loi d'application du code pénal suisse du 27 août 2009 (LaCP; E 4 10)], est sujet à recours auprès de la Chambre de céans [art. 52 al. 2 du Règlement sur les formes alternatives d'exécution des peines du</w:t>
      </w:r>
    </w:p>
    <w:p>
      <w:r>
        <w:t>- 3/5 - PS/40/2022 13 décembre 2017 (RFAEP; E 4 55.13)], les art. 379 à 397 CPP s'appliquant par analogie. 1.2.1 À teneur de l'art. 382 al. 1 CPP, toute partie qui a un intérêt juridiquement protégé à l'annulation ou à la modification d'une décision a qualité pour recourir contre celle-ci. Ont la qualité de partie le prévenu, la partie plaignante et le ministère public (art. 104 al. 1 let. a-c CPP). Les lésés, les personnes qui dénoncent les infractions, les témoins, les personnes appelées à donner des renseignements, les experts et les tiers touchés par des actes de procédure doivent également se voir reconnaître la qualité de partie, dans la mesure nécessaire à la sauvegarde de leurs intérêts, lorsqu'ils sont directement touchés dans leurs droits (art. 105 al. 1 let. a-f et al. 2 CPP). 1.2.2. Conformément à l'art. 127 al. 1 CPP, le prévenu, la partie plaignante et les autres participants à la procédure peuvent se faire assister d'un conseil juridique pour défendre leurs intérêts. Ils peuvent choisir à ce titre toute personne digne de confiance, jouissant de la capacité civile et ayant une bonne réputation, sous réserve de la législation sur les avocats (art. 127 al. 4 CPP). À Genève, selon l'art. 18 LaCP, l’assistance de la partie plaignante et des autres participants à la procédure est réservée aux avocats qui, en vertu de la loi fédérale sur la libre circulation des avocats du 23 juin 2000, sont habilités à représenter les parties devant les tribunaux. 1.2.3. A______, compagne du prévenu, n'est pas partie à la procédure devant le SAPEM. Quand bien même elle serait au bénéfice d'une procuration de B______, elle ne pourrait le représenter devant la Chambre de céans. Il appartient bien à ce dernier d'agir. Le certificat médical produit ne dit pas qu'il en serait incapable, preuve en est qu'il a su délier son médecin de son secret médical par courrier du 10 juin 2022.</w:t>
      </w:r>
    </w:p>
    <w:p>
      <w:r>
        <w:rPr>
          <w:b/>
        </w:rPr>
        <w:t>E. 2</w:t>
      </w:r>
    </w:p>
    <w:p>
      <w:r>
        <w:t>Partant, l'écriture de la recourante doit être déclarée irrecevable, ce que la Chambre de céans pouvait constater d'emblée sans procéder à un échange d'écritures ou à des débats (art. 390 al. 2 et 5 a contrario CPP).</w:t>
      </w:r>
    </w:p>
    <w:p>
      <w:r>
        <w:rPr>
          <w:b/>
        </w:rPr>
        <w:t>E. 3</w:t>
      </w:r>
    </w:p>
    <w:p>
      <w:r>
        <w:t>La recourante, qui succombe, supportera les frais envers l'État (art. 428 al. 1 CPP), y compris un émolument de décision de CHF 500.- (art. 3 cum art. 13 al. 1 du Règlement fixant le tarif des frais en matière pénale, RTFMP ; E 4 10.03).</w:t>
      </w:r>
    </w:p>
    <w:p>
      <w:r>
        <w:t>- 4/5 - PS/40/2022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