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ACPR/436/2021 vom 11. Dezember 2020</w:t>
      </w:r>
    </w:p>
    <w:p>
      <w:r>
        <w:t>GE Cour de justice, 2020-12-11, FR</w:t>
      </w:r>
    </w:p>
    <w:p>
      <w:r>
        <w:rPr>
          <w:b/>
        </w:rPr>
        <w:t xml:space="preserve">Quelle: </w:t>
      </w:r>
      <w:r>
        <w:t>https://mcp.opencaselaw.ch/entscheid/ge_gerichte_ACPR_436_2021</w:t>
      </w:r>
    </w:p>
    <w:p>
      <w:r>
        <w:t>FR: GE_GERICHTE ACPR/436/2021 du 11 décembre 2020</w:t>
      </w:r>
    </w:p>
    <w:p>
      <w:r>
        <w:t>IT: GE_GERICHTE ACPR/436/2021 del 11 dicembre 2020</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393 al. 1 let. a CPP) et émaner de la partie plaignante qui a qualité pour agir, ayant un intérêt juridiquement protégé à la modification ou à l'annulation de la décision concernée (art. 382 al. 1 CPP).</w:t>
      </w:r>
    </w:p>
    <w:p>
      <w:r>
        <w:rPr>
          <w:b/>
        </w:rPr>
        <w:t>E. 2</w:t>
      </w:r>
    </w:p>
    <w:p>
      <w:r>
        <w:t>La recourante se plaint d'une constatation erronée des faits par le Ministère public (art. 393 al. 2 let. b CPP).</w:t>
      </w:r>
    </w:p>
    <w:p>
      <w:r>
        <w:t>- 8/13 - P/1407/2020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 Partant, ce grief sera rejeté.</w:t>
      </w:r>
    </w:p>
    <w:p>
      <w:r>
        <w:rPr>
          <w:b/>
        </w:rPr>
        <w:t>E. 3</w:t>
      </w:r>
    </w:p>
    <w:p>
      <w:r>
        <w:t>La recourante reproche au Ministère public d'avoir rendu une ordonnance de non- entrée en matière alors qu'il existait des soupçons suffisants d'escroquerie, de gestion déloyale et d'abus de confiance.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 En d'autres termes, il doit être certain que l'état de fait ne remplit les conditions d'aucune infraction pénale, ce qui est, par exemple, le cas des contestations de nature purement civile (ATF 137 IV 285 consid. 2.3 p. 287).</w:t>
      </w:r>
    </w:p>
    <w:p>
      <w:r>
        <w:rPr>
          <w:b/>
        </w:rPr>
        <w:t>E. 3.2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- 9/13 - P/1407/2020 L'escroquerie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(arrêts du Tribunal fédéral 6B_817/2018 du 23 octobre 2018 consid. 2.3.1 ; 6B_446/2018 du 17 juillet 2018 consid. 2.1).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w:t>
      </w:r>
    </w:p>
    <w:p>
      <w:r>
        <w:rPr>
          <w:b/>
        </w:rPr>
        <w:t>E. 3.3</w:t>
      </w:r>
    </w:p>
    <w:p>
      <w:r>
        <w:t>Selon l'art. 138 ch. 1 al. 2 CP, commet un abus de confiance celui qui, pour se procurer ou procurer à un tiers un enrichissement illégitime,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121 IV 23 consid. Ic). Bien que cet élément ne soit pas explicitement énoncé par l'art. 138 ch. 1 al. 2 CP, la disposition exige que le comportement adopté par l'auteur cause un dommage, qui représente en l'occurrence un élément constitutif objectif non écrit (ATF 111 IV 19 consid. 5).</w:t>
      </w:r>
    </w:p>
    <w:p>
      <w:r>
        <w:t>- 10/13 - P/1407/2020 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arrêt du Tribunal fédéral 6B_312/2009 du 17 juillet 2009). Ainsi, les acomptes versés en vue de l’exécution d’un contrat de construction ne sont pas des sommes confiées, même si le maître de l’ouvrage était parti de l’idée que l’entrepreneur utiliserait cet argent pour acheter le matériel nécessaire (A. DONATSCH, Strafrecht III : Delikte gegen den Einzelnen, 10e éd., Zurich/Bâle/Genève 2013, n° 2.312, p. 144). 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 1429/2019 du 5 février 2020 consid. 2.3 ; 6B 972/2018 du 20 novembre 2018 consid. 2.2.1 ; 6B 160/2012 du 5 avril 2013 consid. 22).</w:t>
      </w:r>
    </w:p>
    <w:p>
      <w:r>
        <w:rPr>
          <w:b/>
        </w:rPr>
        <w:t>E. 3.4</w:t>
      </w:r>
    </w:p>
    <w:p>
      <w:r>
        <w:t>L'art. 158 CP punit le gérant d'affaires qui – en agissant avec (ch. 1 al. 2) ou sans (ch. 1 al. 1) dessein d’enrichissement illégitime – viole les devoirs auxquels il est tenu et, ce faisant, porte atteinte aux intérêts pécuniaires du tiers pour le compte duquel il intervient. Revêt la qualité de gérant celui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w:t>
      </w:r>
    </w:p>
    <w:p>
      <w:r>
        <w:rPr>
          <w:b/>
        </w:rPr>
        <w:t>E. 3.5</w:t>
      </w:r>
    </w:p>
    <w:p>
      <w:r>
        <w:t>En l'espèce, il est établi par les pièces au dossier que le carrelage posé, qui ne correspond pas à celui choisi par la recourante, a été commandé et posé par le sous- traitant de E______ Sàrl, à l'insu de cette dernière et que ce sous-traitant avait, en outre, facturé par erreur le prix du premier carreau avec la référence du second et souhaitait pouvoir rembourser à la cliente le plus rapidement. Ainsi, que ce soit à la</w:t>
      </w:r>
    </w:p>
    <w:p>
      <w:r>
        <w:t>- 11/13 - P/1407/2020 signature des devis spécifiant les choix de carrelage, lors de la pose ou du versement de l'acompte du 7 août 2019, les associés de E______ Sàrl ignoraient l'erreur commise par le sous-traitant. Que leur proposition de rembourser la cliente n'ait pas abouti ne relève pas de l'escroquerie, mais vraisemblablement de négociations difficiles pour mettre fin au litige. La situation est la même s'agissant des portes blindées et des colonnes de lavage dont la non-conformité à la commande n'est pas imputable pénalement à E______ Sàrl, dans la mesure où elle avait chargé ses sous- traitants de procéder à leur commande et à leur pose. L'entreprise de peinture a, quant à elle, déclaré que le maître de l'ouvrage avait choisi une autre peinture que celle initialement sélectionnée.</w:t>
      </w:r>
    </w:p>
    <w:p>
      <w:r>
        <w:t>On ne peut pas non plus suivre la recourante lorsqu'elle considère que E______ Sàrl aurait abusé de sa confiance en commandant délibérément des matériaux et installations de moindre valeur pour s'attribuer comme profit une partie des valeurs patrimoniales confiées. Les acomptes versés l'ont été dans le cadre d'un contrat d'entreprise à des moments précis de l'évolution du chantier et non pour l'achat spécifique de matériaux ou marchandises. Force est ainsi de constater que le comportement et le montant litigieux ne répondent pas aux conditions de l'abus de confiance mais sont en réalité une question à trancher devant le juge civil. Enfin, les associés-gérants de la Sàrl n'avaient pas la "responsabilité d'administrer un complexe patrimonial non négligeable dans l'intérêt d'autrui", ils sont les gérants de leur société et non des intérêts du maître de l'ouvrage. Ils n'avaient aucune autonomie dans leur activité, le contrat d'entreprise spécifiant précisément ce que le maître de l'ouvrage attendait; ils devaient fournir une prestation, quitte à ce qu'elle le soit par des sous-traitants, mais n'avaient pas à gérer le patrimoine de la recourante. La mauvaise exécution alléguée du contrat est ainsi une question contractuelle et non pénale au sens de l'art. 158 CP.</w:t>
      </w:r>
    </w:p>
    <w:p>
      <w:r>
        <w:t>C'est ainsi à juste titre que le Ministère public a refusé d'entrer en matière sur la plainte.</w:t>
      </w:r>
    </w:p>
    <w:p>
      <w:r>
        <w:rPr>
          <w:b/>
        </w:rPr>
        <w:t>E. 4</w:t>
      </w:r>
    </w:p>
    <w:p>
      <w:r>
        <w:t>La recourante, qui succombe, supportera les frais envers l'État, qui seront fixés en totalité à CHF 1'500.- (art. 428 al. 1 CPP et 13 al. 1 du Règlement fixant le tarif des frais en matière pénale, RTFMP ; E 4 10.03), émolument de décision compris. * * * * *</w:t>
      </w:r>
    </w:p>
    <w:p>
      <w:r>
        <w:t>- 12/13 - P/1407/2020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