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ACPR/434/2020 vom 12. November 2019</w:t>
      </w:r>
    </w:p>
    <w:p>
      <w:r>
        <w:t>GE Cour de justice, 2019-11-12, FR</w:t>
      </w:r>
    </w:p>
    <w:p>
      <w:r>
        <w:rPr>
          <w:b/>
        </w:rPr>
        <w:t xml:space="preserve">Quelle: </w:t>
      </w:r>
      <w:r>
        <w:t>https://mcp.opencaselaw.ch/entscheid/ge_gerichte_ACPR_434_2020</w:t>
      </w:r>
    </w:p>
    <w:p>
      <w:r>
        <w:t>FR: GE_GERICHTE ACPR/434/2020 du 12 novembre 2019</w:t>
      </w:r>
    </w:p>
    <w:p>
      <w:r>
        <w:t>IT: GE_GERICHTE ACPR/434/2020 del 12 novembre 2019</w:t>
      </w:r>
    </w:p>
    <w:p>
      <w:pPr>
        <w:pStyle w:val="Heading2"/>
      </w:pPr>
      <w:r>
        <w:t>Erwägungen</w:t>
      </w:r>
    </w:p>
    <w:p>
      <w:r>
        <w:rPr>
          <w:b/>
        </w:rPr>
        <w:t>E. 1</w:t>
      </w:r>
    </w:p>
    <w:p>
      <w:r>
        <w:t>Les recours sont recevables pour avoir été déposés selon la forme et dans le délai prescrits (art. 385 al. 1 et 396 al. 1 CPP) – faute de notification conforme à l'art. 85 al. 2 CPP –, concerner des points du dispositif d'une ordonnance sujette à recours auprès de la Chambre de céans (art. 393 al. 1 let. a CPP) et émaner des prévenus qui, partie à la procédure (art. 104 al. 1 let. a CPP), ont qualité pour agir, ayant un intérêt juridiquement protégé à la modification ou à l'annulation de la décision querellée (art. 382 al. 1 CPP).</w:t>
      </w:r>
    </w:p>
    <w:p>
      <w:r>
        <w:rPr>
          <w:b/>
        </w:rPr>
        <w:t>E. 2</w:t>
      </w:r>
    </w:p>
    <w:p>
      <w:r>
        <w:t>Interjetés contre la même ordonnance et concernant le même complexe de faits, les deux recours seront joints. La Chambre de céans statuera par un seul et même arrêt.</w:t>
      </w:r>
    </w:p>
    <w:p>
      <w:r>
        <w:rPr>
          <w:b/>
        </w:rPr>
        <w:t>E. 3.1</w:t>
      </w:r>
    </w:p>
    <w:p>
      <w:r>
        <w:t>À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L'obligation de payer les frais de l'accusé qui a été acquitté ou écarté de la procédure n'est pas une responsabilité pour faute pénale, mais une responsabilité se rapprochant des principes du droit civil pour une conduite fautive ayant entraîné l'ouverture ou l'aggravation d'une procédure (ATF 119 Ia 332 consid. 1b p. 334).</w:t>
      </w:r>
    </w:p>
    <w:p>
      <w:r>
        <w:t>- 6/8 - P/24869/2017 Seul un comportement fautif et contraire à une règle juridique, qui soit en relation de causalité avec les frais imputés, entre ainsi en ligne de compte (ATF 119 Ia 332 précité; ATF 116 Ia 162 consid. 2c p. 168; arrêts du Tribunal fédéral 6B_556/2017 du 15 mars 2018 consid. 2.1; 6B_301/2017 du 20 février 2018 consid. 1.1).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p. 61 et l'arrêt cité ;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précité; arrêt du Tribunal fédéral 6B_301/2017 précité consid.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p. 204 s. et les références citées).</w:t>
      </w:r>
    </w:p>
    <w:p>
      <w:r>
        <w:rPr>
          <w:b/>
        </w:rPr>
        <w:t>E. 3.2</w:t>
      </w:r>
    </w:p>
    <w:p>
      <w:r>
        <w:t>En l'espèce, il est reproché aux recourants de ne pas avoir respecté la procédure interne n. 18 de B______ lors d'un appel de renfort pour un détenu. Ce dernier n'a pas été blessé ni n'a déposé plainte. La direction de B______, estimant être en présence d'un soupçon d'usage disproportionné de la contrainte, a dénoncé les faits au Ministère public, qui a ouvert une procédure pénale pour abus d'autorité et confié l'enquête à l'IGS. À réception du résultat de l'enquête, le Ministère public, constatant que les faits ne justifiaient pas l'ouverture d'une instruction, a décidé de ne pas entrer en matière. Au vu des circonstances retenues par l'ordonnance querellée, si le non-respect de la procédure interne n. 18 portant sur l'utilisation des alarmes et numéro d'urgence était de nature à conduire les autorités à ouvrir une enquête interne, voire disciplinaire, le comportement reproché aux recourants ne saurait être considéré comme illicite et fautif, propre à provoquer l'ouverture d'une procédure pénale, au sens de l'art. 426 al.</w:t>
      </w:r>
    </w:p>
    <w:p>
      <w:r>
        <w:t>- 7/8 - P/24869/2017 2 CPP et de la jurisprudence y relative. Il n'y a donc pas de lien de causalité adéquate entre le comportement des recourants et les frais de la présente procédure, qui ne peuvent donc être imputés aux recourants.</w:t>
      </w:r>
    </w:p>
    <w:p>
      <w:r>
        <w:rPr>
          <w:b/>
        </w:rPr>
        <w:t>E. 4</w:t>
      </w:r>
    </w:p>
    <w:p>
      <w:r>
        <w:t>Les recours seront donc admis et les chiffres 2 et 3 de l'ordonnance querellée, annulés.</w:t>
      </w:r>
    </w:p>
    <w:p>
      <w:r>
        <w:rPr>
          <w:b/>
        </w:rPr>
        <w:t>E. 5</w:t>
      </w:r>
    </w:p>
    <w:p>
      <w:r>
        <w:t>L'admission du recours ne donne pas lieu à la perception de frais (art. 428 al. 1 CPP).</w:t>
      </w:r>
    </w:p>
    <w:p>
      <w:r>
        <w:rPr>
          <w:b/>
        </w:rPr>
        <w:t>E. 6</w:t>
      </w:r>
    </w:p>
    <w:p>
      <w:r>
        <w:t>Les recourants, qui obtiennent gain de cause, ont droit à une indemnité pour leurs frais de recours.</w:t>
      </w:r>
    </w:p>
    <w:p>
      <w:r>
        <w:rPr>
          <w:b/>
        </w:rPr>
        <w:t>E. 6.1</w:t>
      </w:r>
    </w:p>
    <w:p>
      <w:r>
        <w:t>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6.2</w:t>
      </w:r>
    </w:p>
    <w:p>
      <w:r>
        <w:t>La Cour de justice applique au chef d'étude un tarif horaire de CHF 450.- (arrêt du Tribunal fédéral 2C_725/2010 du 31 octobre 2011 = SJ 2012 I 172 ; ACPR/279/2014 du 27 mai 2014).</w:t>
      </w:r>
    </w:p>
    <w:p>
      <w:r>
        <w:rPr>
          <w:b/>
        </w:rPr>
        <w:t>E. 6.3</w:t>
      </w:r>
    </w:p>
    <w:p>
      <w:r>
        <w:t>D______ conclut à une indemnité de CHF 2'332.35, pour un recours portant sur</w:t>
      </w:r>
    </w:p>
    <w:p>
      <w:r>
        <w:rPr>
          <w:b/>
        </w:rPr>
        <w:t>E. 7</w:t>
      </w:r>
    </w:p>
    <w:p>
      <w:r>
        <w:t>pages (page de garde, de retranscription du dispositif de l'ordonnance et de conclusions comprises), dont l'argumentation juridique tient en 4 pages. S'y ajoute une réplique de 3 pages.</w:t>
      </w:r>
    </w:p>
    <w:p>
      <w:r>
        <w:t>A______ demande une indemnité de CHF 1'696.- TTC pour un recours portant sur 9 pages (page de garde, de retranscription du dispositif de l'ordonnance et de conclusions comprises), dont la discussion juridique tient sur 4 pages. S'y ajoute une réplique de 2 pages.</w:t>
      </w:r>
    </w:p>
    <w:p>
      <w:r>
        <w:t>Compte tenu de l'absence de complexité de la cause, chacun des recourants se verra allouer une indemnité de CHF 1'000.- TTC pour le recours et la réplique.</w:t>
      </w:r>
    </w:p>
    <w:p>
      <w:r>
        <w:t>- 8/8 - P/24869/2017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