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ACPR/434/2015 vom 11. Juni 2015</w:t>
      </w:r>
    </w:p>
    <w:p>
      <w:r>
        <w:t>GE Cour de justice, 2015-06-11, FR</w:t>
      </w:r>
    </w:p>
    <w:p>
      <w:r>
        <w:rPr>
          <w:b/>
        </w:rPr>
        <w:t xml:space="preserve">Quelle: </w:t>
      </w:r>
      <w:r>
        <w:t>https://mcp.opencaselaw.ch/entscheid/ge_gerichte_ACPR_434_2015</w:t>
      </w:r>
    </w:p>
    <w:p>
      <w:r>
        <w:t>FR: GE_GERICHTE ACPR/434/2015 du 11 juin 2015</w:t>
      </w:r>
    </w:p>
    <w:p>
      <w:r>
        <w:t>IT: GE_GERICHTE ACPR/434/2015 del 11 giugno 2015</w:t>
      </w:r>
    </w:p>
    <w:p>
      <w:pPr>
        <w:pStyle w:val="Heading2"/>
      </w:pPr>
      <w:r>
        <w:t>Erwägungen</w:t>
      </w:r>
    </w:p>
    <w:p>
      <w:r>
        <w:rPr>
          <w:b/>
        </w:rPr>
        <w:t>E. 1</w:t>
      </w:r>
    </w:p>
    <w:p>
      <w:r>
        <w:t>Le recours est recevable pour avoir été déposé selon la forme et dans le délai prescrits (art. 396 al. 1, 390 al. 1, 385 al. 1 CPP et 90 al. 2 CPP), concerner une décision du Ministère public sujette à recours auprès de la Chambre de céans (art. 20 al. 1 let. b et 393 al. 1 let. a CPP; art. 128 al. 1 let. a et al. 2 let. a LOJ) et émaner du prévenu, qui a donc un intérêt juridiquement protégé à l’annulation ou à la modification de la décision entreprise (art. 382 al. 1 et 104 al. 1 let. a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 et 22 ad art. 263).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(OCA/46/2011 du 11 mars 2011). La saisie conservatoire est, en outre, soumise au principe de la proportionnalité (SJ 1990 443/444). Ce principe est respecté lorsque le séquestre porte sur des valeurs dont on peut vraisemblablement admettre qu'elles pourront être confisquées en application du droit pénal.</w:t>
      </w:r>
    </w:p>
    <w:p>
      <w:r>
        <w:t>- 5/7 - P/11263/2015</w:t>
      </w:r>
    </w:p>
    <w:p>
      <w:r>
        <w:rPr>
          <w:b/>
        </w:rPr>
        <w:t>E. 3.2</w:t>
      </w:r>
    </w:p>
    <w:p>
      <w:r>
        <w:t>En l'occurrence, l'art. 24 al. 1 let. c LTBC punit celui qui importe illicitement des biens culturels ou fait une déclaration incorrecte lors de l'importation ou du transit de ces biens. En l’état du dossier, il semble établi que la déclaration d'importation de la statuette litigieuse se référait faussement à un bien non culturel. Le recourant considère avoir importé en Suisse l'objet en question en toute bonne foi, ignorant qu’il pouvait s’agir d’un bien culturel au sens de la LTBC. Il appartiendra à l’instruction, qui ne fait que commencer, de le déterminer. Or, comme relevé par le recourant, son audition n’est pas encore intervenue, de sorte qu’une levée du séquestre apparaît ici prématurée. Par ailleurs, contrairement à ce qu’affirme le recourant, la grande valeur et la grande rareté, vu son origine et son âge, de l’antiquité visée, ajoutée à la fausse déclaration d'importation précitée, constituent, à ce stade, des indices suffisants pour soupçonner une éventuelle provenance illicite du bien saisi, au sens de l'art. 24 al. 1 let. a et/ou c LTBC, soupçons qu'il appartiendra au Ministère public d'éclaircir. On notera enfin que le recourant ne prétend pas subir un inconvénient majeur du fait du séquestre, notamment financier. C'est donc en parfaite conformité avec tant l'art. 263 CPP que le principe de la proportionnalité que le Ministère public a ordonné le séquestre dont est recours.</w:t>
      </w:r>
    </w:p>
    <w:p>
      <w:r>
        <w:rPr>
          <w:b/>
        </w:rPr>
        <w:t>E. 4</w:t>
      </w:r>
    </w:p>
    <w:p>
      <w:r>
        <w:t>Justifiée, l'ordonnance querellée sera dès lors confirmée et, partant, le recours rejeté.</w:t>
      </w:r>
    </w:p>
    <w:p>
      <w:r>
        <w:rPr>
          <w:b/>
        </w:rPr>
        <w:t>E. 5</w:t>
      </w:r>
    </w:p>
    <w:p>
      <w:r>
        <w:t>Le recourant, qui succombe dans ses conslusions, supportera les frais envers l'État, qui comprendront un émolument de CHF 1'000.- (art. 428 al. 1 CPP et 13 al. 1 du Règlement fixant le tarif des frais en matière pénale, RTFMP ; E 4 10.03). * * * * *</w:t>
      </w:r>
    </w:p>
    <w:p>
      <w:r>
        <w:t>- 6/7 - P/11263/2015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