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ACPR/433/2026 vom 30. April 2026</w:t>
      </w:r>
    </w:p>
    <w:p>
      <w:r>
        <w:t>GE Cour de justice, 2026-04-30, FR</w:t>
      </w:r>
    </w:p>
    <w:p>
      <w:r>
        <w:rPr>
          <w:b/>
        </w:rPr>
        <w:t xml:space="preserve">Quelle: </w:t>
      </w:r>
      <w:r>
        <w:t>https://mcp.opencaselaw.ch/entscheid/ge_gerichte_ACPR_433_2026</w:t>
      </w:r>
    </w:p>
    <w:p>
      <w:r>
        <w:t>FR: GE_GERICHTE ACPR/433/2026 du 30 avril 2026</w:t>
      </w:r>
    </w:p>
    <w:p>
      <w:r>
        <w:t>IT: GE_GERICHTE ACPR/433/2026 del 30 aprile 2026</w:t>
      </w:r>
    </w:p>
    <w:p>
      <w:pPr>
        <w:pStyle w:val="Heading2"/>
      </w:pPr>
      <w:r>
        <w:t>Erwägungen</w:t>
      </w:r>
    </w:p>
    <w:p>
      <w:r>
        <w:rPr>
          <w:b/>
        </w:rPr>
        <w:t>E. 1.1</w:t>
      </w:r>
    </w:p>
    <w:p>
      <w:r>
        <w:t>Le recours – en tant qu'il vise à obtenir une indemnité au sens des art. 429 al. 1 let. c et 431 CPP – est irrecevable, le juge de la détention n'étant pas compétent pour statuer sur cette question (ATF 142 IV 245, consid. 4.1).</w:t>
      </w:r>
    </w:p>
    <w:p>
      <w:r>
        <w:rPr>
          <w:b/>
        </w:rPr>
        <w:t>E. 1.2</w:t>
      </w:r>
    </w:p>
    <w:p>
      <w:r>
        <w:t>Pour le surplus, il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persiste à soutenir que les soupçons pesant à son encontre ne permettent pas son maintien en détention provisoire.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l'occurrence, la suffisance et la gravité des charges ont été retenues de manière constante dans les ordonnances rendues par le TMC depuis le 3 octobre 2025, confirmées par la Chambre de céans, la dernière fois le 17 mars 2026, de sorte qu’il n’y a pas lieu d’y revenir, étant souligné qu’il appartiendra au juge du fond de qualifier les infractions dénoncées par sa petite-fille, mineure au moment des faits reprochés. On ne voit pas en quoi les charges se seraient amoindries depuis la seconde audition EVIG du 16 février 2026, le recourant ne l’explique au demeurant pas, tout en soutenant qu'il ne s’était pas touché le pénis en étant "sexuellement excité", avait seulement "effleuré" les seins de sa petite fille, que l’épisode de "la main sur le pénis" – désormais admis – n’avait duré que quelques secondes et qu’il ne lui avait jamais proposé d’entretenir un rapport sexuel avec lui, alors même qu’elle a déclaré le contraire.</w:t>
      </w:r>
    </w:p>
    <w:p>
      <w:r>
        <w:t>- 8/13 - P/21805/2025</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La liste des mesures de substitution énoncée à l'art. 237 CPP n'est pas exhaustive (arrêt du Tribunal fédéral 1B_654/2011 du 7 décembre 2011 consid. 4.2).</w:t>
      </w:r>
    </w:p>
    <w:p>
      <w:r>
        <w:rPr>
          <w:b/>
        </w:rPr>
        <w:t>E. 3.3</w:t>
      </w:r>
    </w:p>
    <w:p>
      <w:r>
        <w:t>En l'espèce, le recourant conteste, encore dans ses écritures de recours, les charges les plus graves portées contre lui, lesquelles reposent principalement sur des faits pour lesquels il n'y a pas de témoin direct. Dans ce contexte, auquel s’ajoute le jeune âge de la victime, les liens familiaux, et l’enjeu de la procédure pour le recourant, il est concrètement à craindre que l’intéressé, en cas de libération, tente d’approcher ou de contacter sa petite-fille, les parents de celle-ci ainsi que son fils, en vue de les faire revenir sur leurs déclarations, ceci d’autant que le recourant n’a pas encore été confronté à l’audition EVIG du 16 février 2026, retranscrite dans le rapport de police du 17 mars 2026 – ceci alors même que le Ministère public avait annoncé procéder à cette audition "prochainement", conformément à l’invite de la Chambre de céans –. Le risque de collusion – qui doit ainsi être confirmé – apparaît toutefois amoindri à ce stade de la procédure. Le Ministère public qui a désormais reçu la transcription de l’audition EVIG, ne fait en effet plus mention de la nécessité d’entendre une nouvelle</w:t>
      </w:r>
    </w:p>
    <w:p>
      <w:r>
        <w:t>- 9/13 - P/21805/2025 fois la victime, des membres de sa famille, voire d’autres témoins, se limitant à indiquer être dans l’attente de la détermination des experts en lien avec le risque de récidive. Il apparaît ainsi que le risque de collusion retenu pourrait être pallié par des mesures de substitution, sous la forme d’une interdiction faite au prévenu d'approcher et d’entrer en contact, de quelque manière que ce soit, avec les personnes déjà entendues, à savoir la victime, ses parents et son oncle.</w:t>
      </w:r>
    </w:p>
    <w:p>
      <w:r>
        <w:rPr>
          <w:b/>
        </w:rPr>
        <w:t>E. 4</w:t>
      </w:r>
    </w:p>
    <w:p>
      <w:r>
        <w:t>Le recourant conteste le risque de récidive.</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w:t>
      </w:r>
    </w:p>
    <w:p>
      <w:r>
        <w:t>- 10/13 - P/21805/2025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"Adaptation du code de procédure pénale" –, FF 2019 6351, p. 6395).</w:t>
      </w:r>
    </w:p>
    <w:p>
      <w:r>
        <w:rPr>
          <w:b/>
        </w:rPr>
        <w:t>E. 4.3</w:t>
      </w:r>
    </w:p>
    <w:p>
      <w:r>
        <w:t>En l'espèce, nonobstant l’absence d’antécédents, le comportement reproché au recourant est – quoi qu’il en dise – grave, préoccupant et constitutif de crime (art. 189 CP) et de délits (art. 22 cum 213 ch. 1 CP et art. 219 CP). Il est soupçonné de s'en être pris, à réitérées reprises, à l’intégrité sexuelle de sa petite-fille, mineure, alors qu’il l’hébergeait à son domicile. Il concède consommer "un peu trop d’alcool" et, selon les déclarations de sa fille, serait "très porté sur le sexe" et aurait "vrillé" à son retour d’un récent voyage en Thaïlande (en mars 2025), lors duquel il admet avoir entretenu des relations sexuelles avec des jeunes femmes "qui semblaient majeures". À ceci s’ajoute qu’il minimise encore, dans son acte de recours, les faits qui lui sont reprochés qu’il persiste à qualifier "d’épisode isolé". Ces éléments – fort défavorables – fondent un risque concret de récidive, au sens de la jurisprudence sus-rappelée. Il est nécessaire d’attendre le résultat de l’expertise psychiatrique qui permettra de déterminer les éventuels troubles psychiques dont il souffre et, cas échéant, les mesures adéquates pour pallier un tel risque – lesquelles ne sauraient être envisagées à ce stade –, étant souligné que le recourant annonce d’ores et déjà, dans son acte de recours, être prêt à suivre un éventuel "traitement psychothérapeutique spécialisé".</w:t>
      </w:r>
    </w:p>
    <w:p>
      <w:r>
        <w:rPr>
          <w:b/>
        </w:rPr>
        <w:t>E. 5</w:t>
      </w:r>
    </w:p>
    <w:p>
      <w:r>
        <w:t>Le recourant invoque, à nouveau, la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w:t>
      </w:r>
    </w:p>
    <w:p>
      <w:r>
        <w:t>- 11/13 - P/21805/2025 1B_624/2011 du 29 novembre 2011 consid. 3.1 et 1B_9/2011 du 7 février 2011 consid. 7.2).</w:t>
      </w:r>
    </w:p>
    <w:p>
      <w:r>
        <w:rPr>
          <w:b/>
        </w:rPr>
        <w:t>E. 5.2</w:t>
      </w:r>
    </w:p>
    <w:p>
      <w:r>
        <w:t>En l’occurrence, contrairement à ce que soutient le recourant, la durée de sa détention provisoire à ce jour (près de 8 mois) et jusqu’à l’échéance fixée (près de</w:t>
      </w:r>
    </w:p>
    <w:p>
      <w:r>
        <w:rPr>
          <w:b/>
        </w:rPr>
        <w:t>E. 9</w:t>
      </w:r>
    </w:p>
    <w:p>
      <w:r>
        <w:t>mois), demeure proportionnée à la peine concrètement encourue, si l'ensemble des faits qui lui sont reprochés devait être confirmé. Avant l’échéance de ce délai (27 mai 2026), le Ministère public devra toutefois confronter le prévenu aux nouvelles déclarations EVIG de sa petite-fille – la Chambre de céans peinant à comprendre pour quels motifs, malgré sa précédente invite, une telle audition n’a pas encore eu lieu – et obtenir le rapport d’expertise psychiatrique – laquelle a été ordonnée le 7 janvier 2026 –, soit depuis bientôt près de 4 mois. 6. Le recours s'avère ainsi infondé et doit être rejeté. 7. Le recourant, qui succombe, supportera les frais envers l'État, fixés en totalité à CHF 900.- (art. 428 al. 1 CPP et 13 al. 1 du Règlement fixant le tarif des frais en matière pénale, RTFMP ; E 4 10.03). 8. Le recourant plaide au bénéfice d'une défense d'office. 8.1.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8.2. En l'occurrence, quand bien même le recourant succombe, on peut admettre que l'exercice du présent recours ne procède pas d'un abus. L'indemnité du défenseur d'office sera fixée à la fin de la procédure (art. 135 al. 2 CPP). * * * * *</w:t>
      </w:r>
    </w:p>
    <w:p>
      <w:r>
        <w:t>- 12/13 - P/21805/2025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