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ACPR/433/2024 vom 15. Mai 2024</w:t>
      </w:r>
    </w:p>
    <w:p>
      <w:r>
        <w:t>GE Cour de justice, 2024-05-15, FR</w:t>
      </w:r>
    </w:p>
    <w:p>
      <w:r>
        <w:rPr>
          <w:b/>
        </w:rPr>
        <w:t xml:space="preserve">Quelle: </w:t>
      </w:r>
      <w:r>
        <w:t>https://mcp.opencaselaw.ch/entscheid/ge_gerichte_ACPR_433_2024</w:t>
      </w:r>
    </w:p>
    <w:p>
      <w:r>
        <w:t>FR: GE_GERICHTE ACPR/433/2024 du 15 mai 2024</w:t>
      </w:r>
    </w:p>
    <w:p>
      <w:r>
        <w:t>IT: GE_GERICHTE ACPR/433/2024 del 15 maggio 2024</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Le recours au sens de l'art. 393 CPP est la voie de droit ouverte contre les prononcés rendus par le TAPEM en matière de libération conditionnelle (art. 42 al. 1 let. b LaCP cum ATF 141 IV 187 consid. 1.1 et les références citées).</w:t>
      </w:r>
    </w:p>
    <w:p>
      <w:r>
        <w:rPr>
          <w:b/>
        </w:rPr>
        <w:t>E. 1.3</w:t>
      </w:r>
    </w:p>
    <w:p>
      <w:r>
        <w:t>La procédure devant la Chambre de céans est régie par le CPP, applicable au titre de droit cantonal supplétif (art. 42 al. 2 LaCP).</w:t>
      </w:r>
    </w:p>
    <w:p>
      <w:r>
        <w:t>- 5/8 - PM/490/2024</w:t>
      </w:r>
    </w:p>
    <w:p>
      <w:r>
        <w:rPr>
          <w:b/>
        </w:rPr>
        <w:t>E. 1.4</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 On comprend de ses deux écrits qu'il n'est pas d'accord avec le refus de sa libération conditionnelle par le TAPEM.</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d'une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w:t>
      </w:r>
    </w:p>
    <w:p>
      <w:r>
        <w:rPr>
          <w:b/>
        </w:rPr>
        <w:t>E. 3.2</w:t>
      </w:r>
    </w:p>
    <w:p>
      <w:r>
        <w:t>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t>- 6/8 - PM/490/2024</w:t>
      </w:r>
    </w:p>
    <w:p>
      <w:r>
        <w:rPr>
          <w:b/>
        </w:rPr>
        <w:t>E. 3.3</w:t>
      </w:r>
    </w:p>
    <w:p>
      <w:r>
        <w:t>En l'espèce, la condition objective d'une libération conditionnelle est réalisée depuis le 29 mai 2024. Seul le préavis de la prison est favorable. Ceux du SAPEM et du Ministère public sont défavorables. Il ne peut être dit que le comportement du recourant en détention a donné entière satisfaction, puisque ce dernier a été sanctionné le 21 février 2024 pour avoir refusé d'être fouillé pour la douche, avoir insulté l'agent de détention présent et lui avoir donné un coup sur la main, comportement qui a contraint des agents à l'amener au sol pour le maîtriser. Il cumule, du 22 janvier 2020 au 10 juin 2022, pas moins de dix condamnations, essentiellement pour des infractions contre le patrimoine (dommages à la propriété, vols, tentatives de vol, utilisation frauduleuse d'un ordinateur, violation de domicile et recel), mais également violence ou menace contre les autorités ou les fonctionnaires, opposition aux actes de l'autorité, injure, ainsi que diverses infractions aux art. 115 et 119 LEI. Il n'a pas su tirer profit de peines pécuniaires, assorties du sursis dans un premier temps, ni n'a appris de courtes peines privatives de liberté. Ses projets à sa sortie de prison sont des plus vagues et nullement étayés. Celui d'aller vivre à D______, où il aurait déjà vécu auprès de son frère, et travaillé pour E______, n'est pas sérieusement concevable, vu l'absence de statut administratif du recourant en France. Ce dernier se retrouvera à sa sortie de prison – étant toutefois relevé que l'OCPM annonce une mise en détention administrative le moment venu, en vue de son renvoi vers l'Algérie, comme cela a été le cas en 2022 – sans domicile fixe, sans revenu avéré, ni proche à même de le soutenir et, en tout état, en situation illégale en Suisse. Il ressort de ces éléments que le recourant n'est pas à même de proposer un projet de vie suffisant à renverser le pronostic qui doit être qualifié de clairement défavorable, vu le risque concret de réitération. Dans cette configuration, le fait que le recourant dise vouloir changer de vie n'y change rien et n'est pas suffisant. Les conditions d'une mise en liberté conditionnelle ne sont ainsi pas réalisées. Justifié, le jugement querellé sera donc confirmé.</w:t>
      </w:r>
    </w:p>
    <w:p>
      <w:r>
        <w:rPr>
          <w:b/>
        </w:rPr>
        <w:t>E. 4</w:t>
      </w:r>
    </w:p>
    <w:p>
      <w:r>
        <w:t>Le recourant, qui succombe, supportera les frais envers l'État, fixés en totalité à CHF 900.- (art. 428 al. 1 CPP et 13 al. 1 du Règlement fixant le tarif des frais en matière pénale, RTFMP ; E 4 10.03). * * * * *</w:t>
      </w:r>
    </w:p>
    <w:p>
      <w:r>
        <w:t>- 7/8 - PM/490/2024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