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ACPR/430/2021 vom 9. März 2021</w:t>
      </w:r>
    </w:p>
    <w:p>
      <w:r>
        <w:t>GE Cour de justice, 2021-03-09, FR</w:t>
      </w:r>
    </w:p>
    <w:p>
      <w:r>
        <w:rPr>
          <w:b/>
        </w:rPr>
        <w:t xml:space="preserve">Quelle: </w:t>
      </w:r>
      <w:r>
        <w:t>https://mcp.opencaselaw.ch/entscheid/ge_gerichte_ACPR_430_2021</w:t>
      </w:r>
    </w:p>
    <w:p>
      <w:r>
        <w:t>FR: GE_GERICHTE ACPR/430/2021 du 9 mars 2021</w:t>
      </w:r>
    </w:p>
    <w:p>
      <w:r>
        <w:t>IT: GE_GERICHTE ACPR/430/2021 del 9 marzo 2021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de non-entrée en matière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estime avoir mis en évidence des soupçons fondés de lésions corporelles simples (art. 123 ch. 1 CP).</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En d'autres termes, il doit être évident que les faits dénoncés ne tombent pas sous le coup de la loi pénale, ce qui est notamment le cas lors de contestations purement civiles (ATF 137 IV 285 consid. 2.3. p. 287).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t>- 5/7 - P/24390/2020</w:t>
      </w:r>
    </w:p>
    <w:p>
      <w:r>
        <w:rPr>
          <w:b/>
        </w:rPr>
        <w:t>E. 2.2</w:t>
      </w:r>
    </w:p>
    <w:p>
      <w:r>
        <w:t>À teneur de l’art. 310 al. 1 let. c CPP, la réalisation des conditions mentionnées à l’art. 8 CPP permet cependant aussi au ministère public de ne pas entrer en matière. L’art. 8 al. 1 CPP rend notamment applicable l'art. 52 CP, soit une disposition qui permet de renoncer à poursuivre l'auteur d'une infraction si sa culpabilité et si les conséquences de son acte apparaissent peu importantes (DCPR/112/2011 du 20 mai 2011). Il s'agit donc de deux conditions cumulatives (M. NIGGLI / H. WIPRÄCHTIGER (éds), Basler Kommentar, Strafrecht I, 2e éd., 2007, n. 14 ad. art. 52).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DCPR/272/2011 du 4 octobre 2011).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w:t>
      </w:r>
    </w:p>
    <w:p>
      <w:r>
        <w:rPr>
          <w:b/>
        </w:rPr>
        <w:t>E. 2.3</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ATF 135 IV 152 consid 2.1.1 p. 154). L'art. 123 CP vise en particulier toutes les dégradations du corps humain, externes ou internes, à la suite d'un choc ou de l'emploi d'un objet, telles les fractures, les foulures, les coupures et les hématomes.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p. 26; 107 IV 40 consid. 5c p. 42; 103 IV 65 consid. 2c p. 70).</w:t>
      </w:r>
    </w:p>
    <w:p>
      <w:r>
        <w:rPr>
          <w:b/>
        </w:rPr>
        <w:t>E. 2.4</w:t>
      </w:r>
    </w:p>
    <w:p>
      <w:r>
        <w:t>En l’espèce, le recourant est fondé à invoquer une prévention suffisante de lésions corporelles simples dont il aurait été victime de la part du mis en cause, le 29</w:t>
      </w:r>
    </w:p>
    <w:p>
      <w:r>
        <w:t>- 6/7 - P/24390/2020 juillet 2020. Sans doute n’est-il pas clairement établi s’il y eût deux étranglements, dans deux phases distinctes de l’altercation, comme le recourant l’a fait valoir dans une déclaration postérieure à sa plainte pénale. De même ne s’est-il pas plaint d’avoir reçu un coup de poing sur la tête, avant qu’un témoin ne l’évoque, quelques mois plus tard. Il n’en reste pas moins qu’un étranglement au moins paraît établi (images vidéo, certificat médical, photos). Par ailleurs, le mis en cause ne semble pas être intervenu pour protéger et défendre (art. 15 CP) sa mère, que le recourant aurait été surpris à molester ou à importuner. Il ressort de la procédure, et notamment des déclarations de la mère, que l’intervention de son fils eut lieu alors qu’elle avait déjà regagné son appartement, dont les cris entendus dans la cage d’escalier l’ont fait ressortir. En d’autres termes, le recourant ne s’en prenait plus à elle à ce moment-là. Par ailleurs, la notion de « torts partagés » est, comme la Chambre de céans a déjà eu l’occasion de le dire (ACPR/275/2021 du 27 avril 2021 consid. 3.3.), étrangère aux bases légales invoquées dans la décision querellée. Il s’ensuit que le Ministère public ne pouvait refuser d’entrer en matière sur les faits dont le recourant l’avait saisi.</w:t>
      </w:r>
    </w:p>
    <w:p>
      <w:r>
        <w:rPr>
          <w:b/>
        </w:rPr>
        <w:t>E. 3</w:t>
      </w:r>
    </w:p>
    <w:p>
      <w:r>
        <w:t>Dès lors, le recours doit être admis, et le Ministère public sera invité (art. 397 al. 2 CPP) à compléter, s’il y a lieu, l’enquête préliminaire et à se prononcer sur la suite de la procédure (art. 299 al. 2 let. b ou c CPP).</w:t>
      </w:r>
    </w:p>
    <w:p>
      <w:r>
        <w:rPr>
          <w:b/>
        </w:rPr>
        <w:t>E. 4</w:t>
      </w:r>
    </w:p>
    <w:p>
      <w:r>
        <w:t>Le recourant, qui a gain de cause, ne supportera pas les frais de l'instance (art. 428 al. 4 CPP).</w:t>
      </w:r>
    </w:p>
    <w:p>
      <w:r>
        <w:rPr>
          <w:b/>
        </w:rPr>
        <w:t>E. 5</w:t>
      </w:r>
    </w:p>
    <w:p>
      <w:r>
        <w:t>Il conclut à une indemnité de CHF 4'321.45 TTC pour les près de neuf heures de travail accomplies par son avocat en instance de recours. Cette durée est exagérée. L’acte de recours est une redite extensive et prolixe des mêmes moyens de fait, reposant sur les quelques auditions au dossier et les images vidéo, qui ne saurait justifier, pour cette raison, plus de sept heures de rédaction, comme réclamé. L’activité déployée sera ramenée à trois heures et demi. L’indemnité, à la charge de l’État, sera donc fixée, arrondie, à CHF 2'475.- TTC.</w:t>
      </w:r>
    </w:p>
    <w:p>
      <w:r>
        <w:t>* * * * *</w:t>
      </w:r>
    </w:p>
    <w:p>
      <w:r>
        <w:t>- 7/7 - P/24390/2020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