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ACPR/429/2026 vom 29. April 2026</w:t>
      </w:r>
    </w:p>
    <w:p>
      <w:r>
        <w:t>GE Cour de justice, 2026-04-29, FR</w:t>
      </w:r>
    </w:p>
    <w:p>
      <w:r>
        <w:rPr>
          <w:b/>
        </w:rPr>
        <w:t xml:space="preserve">Quelle: </w:t>
      </w:r>
      <w:r>
        <w:t>https://mcp.opencaselaw.ch/entscheid/ge_gerichte_ACPR_429_2026</w:t>
      </w:r>
    </w:p>
    <w:p>
      <w:r>
        <w:t>FR: GE_GERICHTE ACPR/429/2026 du 29 avril 2026</w:t>
      </w:r>
    </w:p>
    <w:p>
      <w:r>
        <w:t>IT: GE_GERICHTE ACPR/429/2026 del 29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t>- 5/8 - P/8521/2026</w:t>
      </w:r>
    </w:p>
    <w:p>
      <w:r>
        <w:rPr>
          <w:b/>
        </w:rPr>
        <w:t>E. 3.2</w:t>
      </w:r>
    </w:p>
    <w:p>
      <w:r>
        <w:t>En application de l'art. 356 al. 2 CPP, le tribunal de première instance statue sur la validité de l'ordonnance pénale et de l'opposition. Si l'opposition a été formée tardivement, le tribunal la déclare irrecevable.</w:t>
      </w:r>
    </w:p>
    <w:p>
      <w:r>
        <w:rPr>
          <w:b/>
        </w:rPr>
        <w:t>E. 3.3</w:t>
      </w:r>
    </w:p>
    <w:p>
      <w:r>
        <w:t>Selon l'art. 85 CPP,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w:t>
      </w:r>
    </w:p>
    <w:p>
      <w:r>
        <w:rPr>
          <w:b/>
        </w:rPr>
        <w:t>E. 3.4</w:t>
      </w:r>
    </w:p>
    <w:p>
      <w:r>
        <w:t>Conformément à l'art. 90 CPP, les délais fixés en jours commencent à courir le jour qui suit leur notification ou l'évènement qui les déclenche (al. 1). Si le dernier jour du délai est un samedi, un dimanche ou un jour férié selon le droit fédéral ou cantonal, le délai expire le premier jour ouvrable qui suit (al. 2).</w:t>
      </w:r>
    </w:p>
    <w:p>
      <w:r>
        <w:rPr>
          <w:b/>
        </w:rPr>
        <w:t>E. 3.5</w:t>
      </w:r>
    </w:p>
    <w:p>
      <w:r>
        <w:t>Selon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3.6</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3.7</w:t>
      </w:r>
    </w:p>
    <w:p>
      <w:r>
        <w:t>Aux termes de l’art. 94 CPP,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demande de restitution n’a d’effet suspensif que si l’autorité compétente l’accorde (al. 3). L’autorité pénale rend sa décision sur la demande par écrit (al. 4).</w:t>
      </w:r>
    </w:p>
    <w:p>
      <w:r>
        <w:rPr>
          <w:b/>
        </w:rPr>
        <w:t>E. 3.8</w:t>
      </w:r>
    </w:p>
    <w:p>
      <w:r>
        <w:t>En l’espèce, le pli contenant l'ordonnance pénale n° 1______ du 18 février 2026 a été distribué au fils de la recourante – B______ – le lendemain, soit le 19 février 2026. Conformément à l'art. 85 al. 3 CPP, l'ordonnance litigieuse a ainsi été valablement notifiée ce jour-là à la recourante, laquelle ne prétend au demeurant pas que son fils n'aurait pas fait ménage commun avec elle.</w:t>
      </w:r>
    </w:p>
    <w:p>
      <w:r>
        <w:t>- 6/8 - P/8521/2026 Cette décision mentionnait explicitement qu'une éventuelle opposition devait être formée dans un délai de dix jours et remise au plus tard le dernier jour du délai à l'autorité pénale, à la Poste suisse ou à une représentation consulaire ou diplomatique suisse. Dans la mesure où l'opposition que la recourante a formée à l'encontre de l'ordonnance pénale n° 1______ n'est parvenue à la Poste suisse que le 3 mars 2026, soit après l'expiration du délai légal de dix jours – échéant au dimanche 1er mars 2026 mais reporté au lundi 2 mars 2026 en vertu de l'art. 90 al. 2 CPP –, c'est à bon droit que le Tribunal de police a considéré que ladite opposition devait être déclarée irrecevable, pour cause de tardiveté, et l'ordonnance pénale litigieuse assimilée à un jugement entré en force. Il sera à cet égard relevé que, quand bien même le délai de dix jours aurait commencé à courir un jour plus tard, il aurait également expiré le lundi 2 mars 2026, de sorte que son opposition aurait, là encore, été formée tardivement.</w:t>
      </w:r>
    </w:p>
    <w:p>
      <w:r>
        <w:rPr>
          <w:b/>
        </w:rPr>
        <w:t>E. 4</w:t>
      </w:r>
    </w:p>
    <w:p>
      <w:r>
        <w:t>Au vu de cette issue, c'est à juste titre que le Tribunal de police n'est pas entré en matière sur le fond du litige, à savoir le bien-fondé ou non de l'ordonnance pénale litigieuse prononcée par le SdC. Les griefs y relatifs de la recourante n'ont ainsi pas à être examinés, sans qu'il n'en résulte une violation de son droit d'être entendue ou de celui à un procès équitable.</w:t>
      </w:r>
    </w:p>
    <w:p>
      <w:r>
        <w:rPr>
          <w:b/>
        </w:rPr>
        <w:t>E. 5</w:t>
      </w:r>
    </w:p>
    <w:p>
      <w:r>
        <w:t>La question d’une éventuelle restitution du délai d’opposition n’est pas de la compétence de la Chambre de céans. Il appartiendra au SdC, conformément à l’art. 94 CPP, d’examiner la demande de la recourante y relative. Le dossier lui sera transmis à cet effet.</w:t>
      </w:r>
    </w:p>
    <w:p>
      <w:r>
        <w:rPr>
          <w:b/>
        </w:rPr>
        <w:t>E. 6</w:t>
      </w:r>
    </w:p>
    <w:p>
      <w:r>
        <w:t>Infondé, le recours sera rejeté.</w:t>
      </w:r>
    </w:p>
    <w:p>
      <w:r>
        <w:rPr>
          <w:b/>
        </w:rPr>
        <w:t>E. 7</w:t>
      </w:r>
    </w:p>
    <w:p>
      <w:r>
        <w:t>La recourante, qui succombe, supportera les frais envers l'État, qui seront fixés en totalité à CHF 600.- (art. 428 al. 1 CPP et 13 al. 1 du Règlement fixant le tarif des frais en matière pénale, RTFMP ; E 4 10.03). * * * * *</w:t>
      </w:r>
    </w:p>
    <w:p>
      <w:r>
        <w:t>- 7/8 - P/8521/2026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