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ACPR/428/2022 vom 20. Januar 2022</w:t>
      </w:r>
    </w:p>
    <w:p>
      <w:r>
        <w:t>GE Cour de justice, 2022-01-20, FR</w:t>
      </w:r>
    </w:p>
    <w:p>
      <w:r>
        <w:rPr>
          <w:b/>
        </w:rPr>
        <w:t xml:space="preserve">Quelle: </w:t>
      </w:r>
      <w:r>
        <w:t>https://mcp.opencaselaw.ch/entscheid/ge_gerichte_ACPR_428_2022</w:t>
      </w:r>
    </w:p>
    <w:p>
      <w:r>
        <w:t>FR: GE_GERICHTE ACPR/428/2022 du 20 janvier 2022</w:t>
      </w:r>
    </w:p>
    <w:p>
      <w:r>
        <w:t>IT: GE_GERICHTE ACPR/428/2022 del 20 gennaio 2022</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(art. 85 al. 2 CPP)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ne remettent pas en cause l'ordonnance querellée s'agissant des infractions aux art. 173 et 174 CP dénoncées dans leur plainte, de sorte qu'il n'y a pas lieu d'y revenir ici (art. 385 al. 1 let. a CPP).</w:t>
      </w:r>
    </w:p>
    <w:p>
      <w:r>
        <w:t>- 6/10 - P/8308/2021</w:t>
      </w:r>
    </w:p>
    <w:p>
      <w:r>
        <w:rPr>
          <w:b/>
        </w:rPr>
        <w:t>E. 4</w:t>
      </w:r>
    </w:p>
    <w:p>
      <w:r>
        <w:t>Les recourants considèrent que les écrits litigieux revêtaient un caractère injurieux et menaçant, au sens des art. 177 et 180 CP.</w:t>
      </w:r>
    </w:p>
    <w:p>
      <w:r>
        <w:rPr>
          <w:b/>
        </w:rPr>
        <w:t>E. 4.1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(arrêt du Tribunal fédéral 6B_854/2020 du 19 janvier 2021 consid. 2.1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4.2</w:t>
      </w:r>
    </w:p>
    <w:p>
      <w:r>
        <w:t>Une non-entrée en matière doit également être prononcée lorsqu'il peut être renoncé à toute poursuite ou à toute sanction en vertu de dispositions légales (art. 310 al. 1 let. c cum 8 al. 1 CPP). Tel est notamment le cas si la culpabilité de l'auteur et les conséquences de son acte sont peu importantes (art. 52 CP).</w:t>
      </w:r>
    </w:p>
    <w:p>
      <w:r>
        <w:rPr>
          <w:b/>
        </w:rPr>
        <w:t>E. 4.3</w:t>
      </w:r>
    </w:p>
    <w:p>
      <w:r>
        <w:t>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Tribunal fédéral 6B_1149/2019 du 15 janvier 2020 consid. 5.1 ; 6B_557/2013 du 12 septembre 2013, consid. 1.1 et les références citées, publié in SJ 2014 I 293).</w:t>
      </w:r>
    </w:p>
    <w:p>
      <w:r>
        <w:t>- 7/10 - P/8308/2021</w:t>
      </w:r>
    </w:p>
    <w:p>
      <w:r>
        <w:rPr>
          <w:b/>
        </w:rPr>
        <w:t>E. 4.4</w:t>
      </w:r>
    </w:p>
    <w:p>
      <w:r>
        <w:t>L'art. 180 al. 1 CP punit, sur plainte, celui qui, par une menace grave, aura alarmé ou effrayé une personne. Sur le plan objectif, cette disposition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Une menace n'est punissable que si elle est contraire au droit. Si l’auteur alarme ou effraye la victime de façon infondée ou disproportionnée, il est punissable en vertu de l’article 180 CP. Si la menace de déposer une plainte pénale est fondée, parce que le destinataire a effectivement commis un acte susceptible de plainte, elle est en principe licite (M. DUPUIS / L. MOREILLON / C. PIGUET / S. BERGER / M. MAZOU / V. RODIGARI (éds), Code pénal - Petit commentaire, 2ème éd., Bâle 2017, n. 15 ad. art. 180). Subjectivement, l'auteur doit avoir eu l'intention non seulement de proférer des menaces graves, mais aussi d'alarmer ou d'effrayer le destinataire (arrêts du Tribunal fédéral 6B_1009/2014 du 2 avril 2015 consid. 3.1 ; 6B_598/2011 du 27 juillet 2012 consid. 1.1). 4.5.1. En l'espèce, force est de constater que le contenu des messages litigieux, adressés à A______, ne constituent pas des injures formelles au sens de l'art. 177 CP. Si les propos de la mise en cause sont certes vifs et déplaisants, ils ne sont toutefois ni grossiers, ni outranciers et ne dépassent pas ce qui est admissible du point de vue pénal. Quant à la question de savoir s'ils sont attentatoires à l'honneur, elle peut rester ouverte, l'approche du Ministère public quant à l'applicabilité de l'art. 52 CP au cas d'espèce pouvant être suivie. Les messages incriminés ne semblent en effet avoir engendré une quelconque conséquence pour les recourants, lesquels n'ont allégué aucun dommage concret dont</w:t>
      </w:r>
    </w:p>
    <w:p>
      <w:r>
        <w:t>- 8/10 - P/8308/2021 ils auraient souffert. En outre, les propos litigieux ont été rédigés sous le coup de l'émotion, alors que la mise en cause avait été contactée par un policier, qui souhaitait auditionner sa fille mineure dans le cadre d'une procédure pénale initiée contre l'ancien petit ami de celle-ci – B______ – pour agression sexuelle au préjudice de deux jeunes filles. Ainsi, les messages, desquels il se dégage une grande incompréhension et déception, ont été envoyés dans un contexte particulier et sensible, connu des recourants. Dans ces circonstances, la culpabilité de la mise en cause apparaît de peu d'importance. Partant, les faits – eussent-ils été constitutifs d'injure – ne revêtent pas un degré de gravité tel qu'il faille les sanctionner pénalement. C'est donc à bon droit que le Ministère public a renoncé à poursuivre cette infraction en vertu de l'art. 52 CP. 4.5.2. Par ailleurs, sous l'angle de l'infraction de menaces (art. 180 CP), comme cela a été relevé supra, la mise en cause a envoyé les messages litigieux après avoir été contactée par un policier, qui souhaitait interroger sa fille au sujet de sa relation passée avec B______, soupçonné de viol par deux plaignantes. En outre, elle a déclaré devant la police avoir recueilli les confidences de sa fille, qui lui aurait révélé avoir été saisie par la mâchoire à une reprise par le prénommé et avoir été abusée psychologiquement par celui-ci. Dans ces circonstances, la mise en cause pouvait de bonne foi considérer que sa fille était "potentiellement" victime d'une infraction et, partant, évoquer la perspective d'une plainte pénale, démarche qui n'était pas illicite. À cela s'ajoute que les recourants n'ont pas soutenu, dans leur plainte, avoir été alarmés ou effrayés par les propos de la mise en cause, ayant tout au plus indiqué avoir été "heurtés et choqués" par ceux-ci. En outre, si les termes incriminés avaient réellement eu la portée que les recourants leur prêtent, il paraît surprenant qu'ils aient déposé plainte contre la mise en cause près de trois mois après les faits et non pas dans les plus brefs délais. C'est par conséquent à juste titre que le Ministère public a considéré que les faits n'étaient pas constitutifs de menaces (art. 180 CP) et sa décision ne prête dès lors pas le flanc à la critique.</w:t>
      </w:r>
    </w:p>
    <w:p>
      <w:r>
        <w:rPr>
          <w:b/>
        </w:rPr>
        <w:t>E. 5</w:t>
      </w:r>
    </w:p>
    <w:p>
      <w:r>
        <w:t>Justifiée, elle sera donc confirmée.</w:t>
      </w:r>
    </w:p>
    <w:p>
      <w:r>
        <w:rPr>
          <w:b/>
        </w:rPr>
        <w:t>E. 6</w:t>
      </w:r>
    </w:p>
    <w:p>
      <w:r>
        <w:t>Les recourants, qui succombent, supporteront, conjointement et solidairement, les frais envers l'État, qui seront fixés en totalité à CHF 1'000.- (art. 428 al. 1 CPP et 13 al. 1 du Règlement fixant le tarif des frais en matière pénale, RTFMP ; E 4 10.03). * * * * *</w:t>
      </w:r>
    </w:p>
    <w:p>
      <w:r>
        <w:t>- 9/10 - P/8308/2021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