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ACPR/427/2026 vom 29. April 2026</w:t>
      </w:r>
    </w:p>
    <w:p>
      <w:r>
        <w:t>GE Cour de justice, 2026-04-29, FR</w:t>
      </w:r>
    </w:p>
    <w:p>
      <w:r>
        <w:rPr>
          <w:b/>
        </w:rPr>
        <w:t xml:space="preserve">Quelle: </w:t>
      </w:r>
      <w:r>
        <w:t>https://mcp.opencaselaw.ch/entscheid/ge_gerichte_ACPR_427_2026</w:t>
      </w:r>
    </w:p>
    <w:p>
      <w:r>
        <w:t>FR: GE_GERICHTE ACPR/427/2026 du 29 avril 2026</w:t>
      </w:r>
    </w:p>
    <w:p>
      <w:r>
        <w:t>IT: GE_GERICHTE ACPR/427/2026 del 29 aprile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invoque une violation de son droit d'être entendue, au motif que le Ministère public n'avait pas ouvert une instruction. Toutefois, à teneur de l'art. 309 al. 4 CPP, le ministère public renonce à ouvrir une instruction, lorsqu'il rend immédiatement une ordonnance de non-entrée en matière. Dans ce cas, le droit d'être entendu des parties est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392 al. 2 CPP; arrêts 6B_810/2019 précité consid. 2.1 et 6B_239/2019 du 24 avril 2019 consid. 2.1). Par conséquent, dans la mesure où le Ministère public a estimé que les conditions d'une non-entrée en matière étaient remplies, il n'avait pas à ouvrir une instruction. Partant, ni le droit d'être entendue de la recourante ni l'art. 7 CPP n'ont été violés.</w:t>
      </w:r>
    </w:p>
    <w:p>
      <w:r>
        <w:rPr>
          <w:b/>
        </w:rPr>
        <w:t>E. 3.1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w:t>
      </w:r>
    </w:p>
    <w:p>
      <w:r>
        <w:t>- 5/8 - P/26211/2025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Dans le doute, lorsque les conditions d'une non-entrée en matière ne sont pas réalisées avec une certitude absolue, l'instruction doit être ouverte (ATF 143 IV 241 consid. 2.2.1; ATF 138 IV 86 consid. 4.1).</w:t>
      </w:r>
    </w:p>
    <w:p>
      <w:r>
        <w:rPr>
          <w:b/>
        </w:rPr>
        <w:t>E. 3.2</w:t>
      </w:r>
    </w:p>
    <w:p>
      <w:r>
        <w:t>Pour qu'une plainte soit valable, le déroulement des faits sur lesquels elle porte doit être décrit de manière suffisante (M. DUPUIS / L. MOREILLON / C. PIGUET / S. BERGER / M. MAZOU / V. RODIGARI (éd.), Code pénal, Petit commentaire, 2ème éd., Bâle 2017, n. 4 ad art. 30).</w:t>
      </w:r>
    </w:p>
    <w:p>
      <w:r>
        <w:rPr>
          <w:b/>
        </w:rPr>
        <w:t>E. 3.3</w:t>
      </w:r>
    </w:p>
    <w:p>
      <w:r>
        <w:t>En l'espèce, la recourante a déposé plainte contre trois personnes en mentionnant très brièvement les comportements qu'elle leur reproche, en précisant que le Ministère public disposait déjà des documents prouvant, selon elle, ses dires. Toutefois, il revenait à la plaignante de décrire les faits de manière suffisamment étayée et compréhensible. De même, elle produit à l'appui de son recours, en vrac, une liasse de documents, qu'il n'appartient pas à la Chambre de céans de trier pour déterminer quelle pièce est censée documenter ou prouver la dénonciation. Pour ce motif déjà, le recours doit être rejeté. À cela s'ajoute que la recourante n'expose pas en quoi elle aurait été directement atteinte par l'éventuelle création de faux dans les titres par son ex-compagnon, de même que par l'éventuelle autoreprésentation de ce dernier; le recours paraît dès lors irrecevable sur ce point. En outre, la recourante a déposé à plusieurs reprises des plaintes contre B______ pour les autres faits – tels qu'on les comprend – mentionnés dans sa plainte, lesquels ont été classées. Il n'y a dès lors pas lieu d'y revenir. Il en va de même des reproches formulés contre la curatrice, qui a déjà été visée par de nombreuses plaintes de la recourante, lesquelles ont fait l'objet d'ordonnances de non-entrée en matière confirmées par la Chambre de céans (cf. notamment ACPR/929/2019 du 25 novembre 2019, ACPR/517/2020 du 29 juillet 2020, ACPR/669/2020 du 24 septembre 2020, ACPR/893/2020 du 10 décembre 2020,</w:t>
      </w:r>
    </w:p>
    <w:p>
      <w:r>
        <w:t>- 6/8 - P/26211/2025 ACPR/236/2021 du 13 avril 2021 et ACPR/509/2021 du 05 août 2021). Il n'y a pas lieu d'y revenir non plus. Quant à l'avocat, les faits exposés par la recourante ne permettent pas de retenir un soupçon suffisant de la commission d'une quelconque infraction. Dans son recours, la plaignante mentionne d'autres événements. Elle invoque la plainte dont elle avait fait l'objet en 2016 pour enlèvement, laquelle avait fait l'objet d'une non- entrée en matière (cf. ACPR/23/2017 du 19 janvier 2017). La recourante a déjà mentionné plusieurs fois devant la Chambre de céans cet événement, sur lequel il n'y a pas lieu de revenir. Par ailleurs, la découverte, en 2017, par la police vaudoise d'une "lettre de chantage financier" a été discutée tant devant les autorités de poursuite pénale vaudoises que genevoises. Quant au retrait de la garde de E______, le 12 décembre 2018, il a déjà motivé le dépôt de nombreuses plaintes pénales par la recourante. Tous ces événements ont déjà été invoqués par la recourante devant le Ministère public et la Chambre de céans. Ces faits ne justifient pas l'ouverture d'une instruction. Partant, c'est à bon droit que le Ministère public a refusé d'entrer en matière sur la nouvelle plainte de la recourante.</w:t>
      </w:r>
    </w:p>
    <w:p>
      <w:r>
        <w:rPr>
          <w:b/>
        </w:rPr>
        <w:t>E. 4</w:t>
      </w:r>
    </w:p>
    <w:p>
      <w:r>
        <w:t>La recourante reproche au Ministère public d'avoir refusé d'entrer en matière sur sa plainte pénale.</w:t>
      </w:r>
    </w:p>
    <w:p>
      <w:r>
        <w:rPr>
          <w:b/>
        </w:rPr>
        <w:t>E. 5</w:t>
      </w:r>
    </w:p>
    <w:p>
      <w:r>
        <w:t>Justifiée, l'ordonnance querellée sera donc confirmée.</w:t>
      </w:r>
    </w:p>
    <w:p>
      <w:r>
        <w:rPr>
          <w:b/>
        </w:rPr>
        <w:t>E. 6</w:t>
      </w:r>
    </w:p>
    <w:p>
      <w:r>
        <w:t>La recourante, qui succombe, supportera les frais envers l'État, qui comprendront un émolument de CHF 900.- (art. 428 al. 1 CPP et 13 al. 1 du Règlement fixant le tarif des frais en matière pénale, RTFMP ; E 4 10.03). * * * * *</w:t>
      </w:r>
    </w:p>
    <w:p>
      <w:r>
        <w:t>- 7/8 - P/26211/2025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