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ACPR/427/2022 vom 21. April 2022</w:t>
      </w:r>
    </w:p>
    <w:p>
      <w:r>
        <w:t>GE Cour de justice, 2022-04-21, FR</w:t>
      </w:r>
    </w:p>
    <w:p>
      <w:r>
        <w:rPr>
          <w:b/>
        </w:rPr>
        <w:t xml:space="preserve">Quelle: </w:t>
      </w:r>
      <w:r>
        <w:t>https://mcp.opencaselaw.ch/entscheid/ge_gerichte_ACPR_427_2022</w:t>
      </w:r>
    </w:p>
    <w:p>
      <w:r>
        <w:t>FR: GE_GERICHTE ACPR/427/2022 du 21 avril 2022</w:t>
      </w:r>
    </w:p>
    <w:p>
      <w:r>
        <w:t>IT: GE_GERICHTE ACPR/427/2022 del 21 aprile 2022</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des décisions querellées (art. 382 al. 1 CPP).</w:t>
      </w:r>
    </w:p>
    <w:p>
      <w:r>
        <w:rPr>
          <w:b/>
        </w:rPr>
        <w:t>E. 2</w:t>
      </w:r>
    </w:p>
    <w:p>
      <w:r>
        <w:t>Le recourant invoque une rupture du lien de confiance avec son conseil juridique gratuit et demande le remplacement de ce dernier par l'avocat qu'il désigne.</w:t>
      </w:r>
    </w:p>
    <w:p>
      <w:r>
        <w:rPr>
          <w:b/>
        </w:rPr>
        <w:t>E. 2.1</w:t>
      </w:r>
    </w:p>
    <w:p>
      <w:r>
        <w:t>Selon l'art. 133 CPP, le défenseur d'office est désigné par la direction de la procédure au stade considéré (al. 1); lorsqu'elle nomme le défenseur d'office, la direction de la procédure prend en considération les souhaits du prévenu dans la mesure du possible (al. 2). Cette disposition concrétise la jurisprudence du Tribunal fédéral et de la CourEDH relative aux art. 29 al. 3 Cst. et 6 par. 3 let. c CEDH (arrêt du Tribunal fédéral 1B_387/2012 du 24 janvier 2013 consid. 4.3; Message du Conseil fédéral du 21 décembre 2005 relatif à l'unification du droit de la procédure, FF 2006 1057, spéc. 1159; cf. arrêts rendus avant l'entrée en vigueur du CPP: ATF</w:t>
      </w:r>
    </w:p>
    <w:p>
      <w:r>
        <w:t>- 5/8 - P/22253/2021 105 Ia 296 consid. 1d p. 302; arrêts 1B_74/ 2008 du 18 juin 2008 consid. 2 et 1B_245/2008 du 11 novembre 2008 consid. 2; arrêt CourEDH Croissant contre Allemagne du 25 septembre 1992, § 29).</w:t>
      </w:r>
    </w:p>
    <w:p>
      <w:r>
        <w:rPr>
          <w:b/>
        </w:rPr>
        <w:t>E. 2.2</w:t>
      </w:r>
    </w:p>
    <w:p>
      <w:r>
        <w:t>Une demande de remplacement du défenseur d'office ne peut être admise que si, pour des motifs objectifs, une défense compétente et efficace des intérêts du prévenu n'est plus garantie (ATF 116 Ia 102 consid. 4b/aa). L'art. 134 al. 2 CPP précise à ce propos qu'une défense compétente et efficace ne peut plus être assurée non seulement en cas de violation objective du devoir d'assistance, mais déjà en cas de perturbation grave de la relation de confiance entre le prévenu et le défenseur.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1B_375/2012 du 15 août 2012 consid. 1.1). En effet, si la relation de confiance doit en principe être recherchée, le droit à un procès équitable garanti à l'art. 29 al. 1 Cst. ne donne pas à l'assisté le droit de refuser l'avocat désigné, parce qu'il n'aurait, pour des raisons purement subjectives, pas confiance en lui (arrêt du Tribunal fédéral 1P_364/2004 précité avec référence à l'ATF 105 Ia 296 consid. 1d).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sa mission ne consiste donc pas seulement à endosser le rôle de porte-parole sans esprit critique de l'accusé, qui se limiterait à se faire simple interprète des sentiments et des arguments de son client (ATF 116 Ia 102 : JT 1993 IV 186 consid. 4b/bb p. 105; 105 Ia 296 consid. 1; ACPR/518/2012 du 23 novembre 2012).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A. KUHN / Y. JEANNERET / C. PERRIER DEPEURSINGE (éds), Commentaire romand : Code de procédure pénale suisse, 2ème éd., Bâle 2019. n. 20-22 ad art. 134).</w:t>
      </w:r>
    </w:p>
    <w:p>
      <w:r>
        <w:rPr>
          <w:b/>
        </w:rPr>
        <w:t>E. 2.3</w:t>
      </w:r>
    </w:p>
    <w:p>
      <w:r>
        <w:t>En l'espèce, le recourant aurait voulu, lors de son audition à la police, être assisté d'un autre conseil, lequel était absent de Genève. Le Ministère public a dès lors nommé d'office l'avocat de permanence. Cette situation ne permet pas au recourant de demander ensuite que l'avocat de son choix remplace celui valablement désigné. Le prévenu reproche à son conseil d'office d'avoir introduit des recours à son insu; rien au dossier n'appuie cette affirmation. Les seuls recours ont été déposés par le</w:t>
      </w:r>
    </w:p>
    <w:p>
      <w:r>
        <w:t>- 6/8 - P/22253/2021 recourant en personne, et maintenus, certes sans plus de développement par l'intimé. On ignore cependant pourquoi le prévenu a agi sans son conseil, lequel était allé le voir le jour-même où l'intéressé avait déposé sa demande de changement d'avocat, sans discuter préalablement de son mécontentement. La réponse d'absence d'observations dans la procédure de recours contre sa détention n'est pas un élément probant dans la mesure où le prévenu avait fait un recours complet et étayé de sorte que son conseil pouvait estimer qu'il ne se justifiait pas de répliquer. Le reproche de ne pas avoir communiqué des informations liées à l'usurpation prétendue de son nom lors des commandes de marchandises litigieuses se heurte à la réponse de son avocat selon laquelle des raisons stratégiques, à lui exposées, s'y opposaient. On ne voit là que l'expression même du devoir de l'avocat de décider de la poursuite du procès. Ainsi, les faits susmentionnés ne permettent à la Chambre de céans de retenir que sa défense ne serait pas assurée de manière suffisamment efficace dans la présente procédure. C'est ainsi à bon droit que le Ministère public a refusé de relever Me C______ de sa mission.</w:t>
      </w:r>
    </w:p>
    <w:p>
      <w:r>
        <w:rPr>
          <w:b/>
        </w:rPr>
        <w:t>E. 3</w:t>
      </w:r>
    </w:p>
    <w:p>
      <w:r>
        <w:t>Le recourant, qui succombe, supportera les frais envers l'État, fixés en totalité à CHF 800.-, y compris un émolument de décision (art. 428 al. 1 CPP et 13 al. 1 du Règlement fixant le tarif des frais en matière pénale, RTFMP ; E 4 10.03). * * * * *</w:t>
      </w:r>
    </w:p>
    <w:p>
      <w:r>
        <w:t>- 7/8 - P/22253/2021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