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ACPR/427/2014 vom 24. September 2014</w:t>
      </w:r>
    </w:p>
    <w:p>
      <w:r>
        <w:t>GE Cour de justice, 2014-09-24, FR</w:t>
      </w:r>
    </w:p>
    <w:p>
      <w:r>
        <w:rPr>
          <w:b/>
        </w:rPr>
        <w:t xml:space="preserve">Quelle: </w:t>
      </w:r>
      <w:r>
        <w:t>https://mcp.opencaselaw.ch/entscheid/ge_gerichte_ACPR_427_2014</w:t>
      </w:r>
    </w:p>
    <w:p>
      <w:r>
        <w:t>FR: GE_GERICHTE ACPR/427/2014 du 24 septembre 2014</w:t>
      </w:r>
    </w:p>
    <w:p>
      <w:r>
        <w:t>IT: GE_GERICHTE ACPR/427/2014 del 24 settembre 2014</w:t>
      </w:r>
    </w:p>
    <w:p>
      <w:pPr>
        <w:pStyle w:val="Heading2"/>
      </w:pPr>
      <w:r>
        <w:t>Erwägungen</w:t>
      </w:r>
    </w:p>
    <w:p>
      <w:r>
        <w:rPr>
          <w:b/>
        </w:rPr>
        <w:t>E. 1</w:t>
      </w:r>
    </w:p>
    <w:p>
      <w:r>
        <w:t>Le recours est recevable pour avoir été déposé selon la forme et dans le délai prescrits (art. 396 al. 1, 390 al. 1, 385 al. 1 CPP et 90 al. 2 CPP), concerner une décision du Ministère public sujette à recours auprès de la Chambre de céans (art. 20 al. 1 let. b et 393 al. 1 let. a CPP; art. 128 al. 1 let. a et al. 2 let. a LOJ) et émaner du tiers saisi, qui a donc un intérêt juridiquement protégé à l’annulation ou à la modification de la décision entreprise (art. 382 al. 1 et 104 al. 1 let. a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w:t>
      </w:r>
    </w:p>
    <w:p>
      <w:r>
        <w:t>- 5/8 - P/9423/2014 maintien de la mesure (A. KUHN / Y. JEANNERET (éds), Commentaire romand : Code de procédure pénale suisse, Bâle 2011, n. 17 et 22 ad art. 263).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w:t>
      </w:r>
    </w:p>
    <w:p>
      <w:r>
        <w:rPr>
          <w:b/>
        </w:rPr>
        <w:t>E. 3.2</w:t>
      </w:r>
    </w:p>
    <w:p>
      <w:r>
        <w:t>En l'occurrence, il est admis que le code mentionné dans la déclaration d'importation se référait faussement à des biens non culturels. Or, l'art. 24 al. 1 let. c LTBC punit celui qui importe illicitement des biens culturels ou fait une déclaration incorrecte lors de l'importation ou du transit de ces biens. La recourante y voit toutefois là une simple inadvertance et s'oppose à toute confiscation, les antiquités en question ne provenant pas d'un trafic illicite. Certes, le courrier de l'Office fédéral de la culture, qui n'exclut pas une possible infraction à l'art. 24 al. 1 let. a LTBC - laquelle réprime l'importation et le transfert (vente, achat, importation etc.) de biens culturels volés ou dont le propriétaire s'est trouvé dessaisi sans sa volonté -, est laconique. Il rappelle toutefois que le type d'objets en cause était souvent touché par le trafic illicite (p. ex. fouilles illicites) et susceptible d'être confisqué, ce que des investigations pourraient établir. Or, la présente instruction ne fait précisément que commencer. Contrairement à ce qu'affirme la recourante, la grande valeur et la grande rareté, vu leur origine et leur âge, des antiquités en question, ajoutées à la fausse déclaration d'importation précitée, constituent, à ce stade, des indices suffisants pour soupçonner également une éventuelle provenance illicite des biens saisis, soupçons qu'il appartiendra au Ministère public d'éclaircir. Quant au séquestre en mains de la recourante, il apparaît à ce stade prématuré, étant relevé que le Ministère public s'est montré ouvert à un réexamen sur ce point, si les conditions liées à la conservation et à la présentation des objets concernés en vue de leur éventuelle confiscation étaient garantis.</w:t>
      </w:r>
    </w:p>
    <w:p>
      <w:r>
        <w:t>- 6/8 - P/9423/2014 On notera enfin que la recourante ne prétend pas, à ce stade, subir un inconvénient majeur du fait du séquestre, notamment financier, alléguant seulement la mise à mal de sa crédibilité. C'est donc en parfaite conformité avec tant l'art. 263 CPP que le principe de la proportionnalité que le Ministère public a ordonné le séquestre dont est recours.</w:t>
      </w:r>
    </w:p>
    <w:p>
      <w:r>
        <w:rPr>
          <w:b/>
        </w:rPr>
        <w:t>E. 4</w:t>
      </w:r>
    </w:p>
    <w:p>
      <w:r>
        <w:t>Justifiée, l'ordonnance querellée sera dès lors confirmée et, partant, le recours, rejeté.</w:t>
      </w:r>
    </w:p>
    <w:p>
      <w:r>
        <w:rPr>
          <w:b/>
        </w:rPr>
        <w:t>E. 5</w:t>
      </w:r>
    </w:p>
    <w:p>
      <w:r>
        <w:t>En tant qu'elle succombe dans son recours, A______ LTD supportera les frais de la procédure (art. 428 al.1 CPP).</w:t>
      </w:r>
    </w:p>
    <w:p>
      <w:r>
        <w:t>* * * * *</w:t>
      </w:r>
    </w:p>
    <w:p>
      <w:r>
        <w:t>- 7/8 - P/9423/2014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