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ACPR/425/2026 vom 28. April 2026</w:t>
      </w:r>
    </w:p>
    <w:p>
      <w:r>
        <w:t>GE Cour de justice, 2026-04-28, FR</w:t>
      </w:r>
    </w:p>
    <w:p>
      <w:r>
        <w:rPr>
          <w:b/>
        </w:rPr>
        <w:t xml:space="preserve">Quelle: </w:t>
      </w:r>
      <w:r>
        <w:t>https://mcp.opencaselaw.ch/entscheid/ge_gerichte_ACPR_425_2026</w:t>
      </w:r>
    </w:p>
    <w:p>
      <w:r>
        <w:t>FR: GE_GERICHTE ACPR/425/2026 du 28 avril 2026</w:t>
      </w:r>
    </w:p>
    <w:p>
      <w:r>
        <w:t>IT: GE_GERICHTE ACPR/425/2026 del 28 aprile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 recourant ne fait plus mention, dans son recours, de sa carte d'identité, de sorte que la non-entrée en matière est acquise sur ce point.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portant sur l'ouverture sans droit de son courrier par les mis en cause.</w:t>
      </w:r>
    </w:p>
    <w:p>
      <w:r>
        <w:rPr>
          <w:b/>
        </w:rPr>
        <w:t>E. 3.1</w:t>
      </w:r>
    </w:p>
    <w:p>
      <w:r>
        <w:t>Selon l'art. 179 1ère phrase CP, quiconque, sans en avoir le droit, ouvre un pli ou colis fermé pour prendre connaissance de son contenu est, sur plainte, puni d'une amende.</w:t>
      </w:r>
    </w:p>
    <w:p>
      <w:r>
        <w:rPr>
          <w:b/>
        </w:rPr>
        <w:t>E. 3.2</w:t>
      </w:r>
    </w:p>
    <w:p>
      <w:r>
        <w:t>En l'espèce, le recourant, dans sa plainte, reproche aux mis en cause d'avoir ouvert une lettre reçue du poste de police de D______, étant précisé que B______ aurait ensuite été l'apporter au poste de police de E______. Les mis en cause contestent les faits, et aucun élément objectif n'est propre à départager les deux versions. Dans son recours, le recourant soutient que les mis en cause auraient ouvert d'autres lettres, notamment celles provenant de la banque dans laquelle il avait ouvert un compte. Si tant est que ces faits – nouvellement présentés – soient recevables en deuxième instance et qu'ils ne soient pas prescrits (art. 109 CP), force est de constater qu'ils sont contestés par les mis en cause, puisque ces derniers ont expliqué qu'ils</w:t>
      </w:r>
    </w:p>
    <w:p>
      <w:r>
        <w:t>- 4/6 - P/22958/2025 ramenaient systématiquement à la poste le courrier destiné au recourant, depuis son départ du domicile familial. Faute d'élément objectif permettant de retenir une version plutôt que l'autre, c'est à bon droit que le Ministère public n'est pas entré en matière.</w:t>
      </w:r>
    </w:p>
    <w:p>
      <w:r>
        <w:rPr>
          <w:b/>
        </w:rPr>
        <w:t>E. 4</w:t>
      </w:r>
    </w:p>
    <w:p>
      <w:r>
        <w:t>Justifiée, l'ordonnance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r>
        <w:t>- 5/6 - P/22958/2025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