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ACPR/425/2025 vom 5. Mai 2025</w:t>
      </w:r>
    </w:p>
    <w:p>
      <w:r>
        <w:t>GE Cour de justice, 2025-05-05, FR</w:t>
      </w:r>
    </w:p>
    <w:p>
      <w:r>
        <w:rPr>
          <w:b/>
        </w:rPr>
        <w:t xml:space="preserve">Quelle: </w:t>
      </w:r>
      <w:r>
        <w:t>https://mcp.opencaselaw.ch/entscheid/ge_gerichte_ACPR_425_2025</w:t>
      </w:r>
    </w:p>
    <w:p>
      <w:r>
        <w:t>FR: GE_GERICHTE ACPR/425/2025 du 5 mai 2025</w:t>
      </w:r>
    </w:p>
    <w:p>
      <w:r>
        <w:t>IT: GE_GERICHTE ACPR/425/2025 del 5 maggio 2025</w:t>
      </w:r>
    </w:p>
    <w:p>
      <w:pPr>
        <w:pStyle w:val="Heading2"/>
      </w:pPr>
      <w:r>
        <w:t>Erwägungen</w:t>
      </w:r>
    </w:p>
    <w:p>
      <w:r>
        <w:rPr>
          <w:b/>
        </w:rPr>
        <w:t>E. 1</w:t>
      </w:r>
    </w:p>
    <w:p>
      <w:r>
        <w:t>Le recours est recevable pour avoir été déposé selon la forme et, à défaut de notification respectant les réquisits de l'art. 85 al. 2 CPP,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le procès-verbal de l'audience du 4 avril 2025 ne pouvait être retranché du dossier de la procédure, à tout le moins pas à ce stade de la procédure.</w:t>
      </w:r>
    </w:p>
    <w:p>
      <w:r>
        <w:rPr>
          <w:b/>
        </w:rPr>
        <w:t>E. 3.1</w:t>
      </w:r>
    </w:p>
    <w:p>
      <w:r>
        <w:t>L'art. 143 CPP règle l'exécution des auditions. Son alinéa premier prévoit qu'au début de l'audition, le comparant, dans une langue qu'il comprend, est interrogé sur son identité (let. a), informé de l'objet de la procédure et de la qualité en laquelle il est entendu (let. b) et avisé de façon complète de ses droits et obligations (let. c). L'observation de ces dispositions doit être consignée au procès-verbal (al. 2).</w:t>
      </w:r>
    </w:p>
    <w:p>
      <w:r>
        <w:rPr>
          <w:b/>
        </w:rPr>
        <w:t>E. 3.2</w:t>
      </w:r>
    </w:p>
    <w:p>
      <w:r>
        <w:t>Il revient à celui qui mène l'audition de décider en quelle qualité une personne doit être entendue. La décision y relative est prise au regard de l'état de fait et de la situation juridique au moment de l'audition (ATF 144 IV 97 consid. 2.1.3; A. DONATSCH / V. LIEBER / S. SUMMERS / W. WOHLERS (éds.), Kommentar zur Schweizerischen Strafprozessordnung (StPO), 3ème éd., Zürich 2020, n. 11 ad art. 178).</w:t>
      </w:r>
    </w:p>
    <w:p>
      <w:r>
        <w:rPr>
          <w:b/>
        </w:rPr>
        <w:t>E. 3.3</w:t>
      </w:r>
    </w:p>
    <w:p>
      <w:r>
        <w:t>Aux termes de l'art. 141 CPP, les preuves administrées en violation de l’art. 140 ne sont en aucun cas exploitables. Il en va de même lorsque le présent code dispose qu’une preuve n’est pas exploitable (al. 1). Les preuves qui ont été administrées d’une</w:t>
      </w:r>
    </w:p>
    <w:p>
      <w:r>
        <w:t>- 7/11 - P/3250/2025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w:t>
      </w:r>
    </w:p>
    <w:p>
      <w:r>
        <w:rPr>
          <w:b/>
        </w:rPr>
        <w:t>E. 3.4</w:t>
      </w:r>
    </w:p>
    <w:p>
      <w:r>
        <w:t>Conformément à l'art. 158 al. 1 CPP,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Le prévenu doit être informé, de manière générale et selon l'état actuel de la procédure, de l'acte délictueux qui lui est reproché. Il ne s'agit pas d'en opérer une description au sens des dispositions pénales, mais de relever les circonstances concrètes de l'acte reproché (ATF 141 IV 20 consid. 1.3.3 p. 29 et les références). L’al. 2 de cet article précise que les auditions effectuées sans que ces informations aient été données ne sont pas exploitables. L'information sur les charges et les droits constitue dès lors une règle de validité et non une simple prescription d'ordre; il s'agit même d'une règle de validité qualifiée. On doit dès lors considérer cette disposition comme une lex specialis en matière de preuves illicites, si bien que l'art. 141 CPP n'est pas applicable en tant que tel lors d'un défaut d'information. On peut ainsi constater que l'art. 158 CPP, à la différence de l'art. 141 al. 2 CPP, ne consacre pas d'exception pour les infractions graves, et qu'il n'y a pas de place pour une pesée d'intérêts entre la poursuite pénale et les droits fondamentaux du prévenu; il s'agit là d'un silence qualifié du législateur, ce que confirme très clairement le Message. En résumé, quelle que soit l'infraction commise et sa gravité, lorsque l'information n'a pas été donnée, les informations recueillies sont inexploitables (A. KUHN / Y. JEANNERET / C. PERRIER DEPEURSINGE (éds), Commentaire romand : Code de procédure pénale suisse, 2ème éd., Bâle 2019, n. 26 ad art. 158).</w:t>
      </w:r>
    </w:p>
    <w:p>
      <w:r>
        <w:rPr>
          <w:b/>
        </w:rPr>
        <w:t>E. 3.5</w:t>
      </w:r>
    </w:p>
    <w:p>
      <w:r>
        <w:t>Au stade de l'instruction, 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(ACPR/319/2025 du 30 avril 2025 consid. 3.4; ATF 144 IV 127 consid. 1.3.1; 143 IV 387 consid. 4.4). Cette approche se justifie également au regard du principe "in dubio pro duriore", lequel interdit au ministère public, confronté à des preuves non claires, d'anticiper sur l'appréciation des preuves par le juge du fond (ATF 143 IV 241 consid. 2.3.2 ; arrêt du Tribunal fédéral 6B_127/2019 du 9 septembre 2019 consid. 4.1.2 non publié aux ATF 145 IV 462).</w:t>
      </w:r>
    </w:p>
    <w:p>
      <w:r>
        <w:t>- 8/11 - P/3250/2025 Cette règle comporte toutefois des exceptions. Tel est le cas lorsque la loi prévoit expressément la restitution immédiate, respectivement la destruction immédiate, des preuves illicites (cf. notamment l'ancien art. 248 CPP dans sa teneur en vigueur au 31 décembre 2023 [RO 2010 1881], art. 271 al. 3, 277 et 289 al. 6 CPP). Il en va de même quand, en vertu de la loi ou de circonstances spécifiques liées au cas d'espèce, le caractère illicite des moyens de preuve s'impose d'emblée (ATF 143 IV 475 consid. 2.7).</w:t>
      </w:r>
    </w:p>
    <w:p>
      <w:r>
        <w:rPr>
          <w:b/>
        </w:rPr>
        <w:t>E. 3.6</w:t>
      </w:r>
    </w:p>
    <w:p>
      <w:r>
        <w:t>En l'espèce, il ressort du mandat de comparution adressé à D______, en vue de l'audience du 4 avril 2025, que le Ministère public envisageait de l'entendre, à cette occasion, en qualité tant de plaignant que de prévenu, et non exclusivement comme plaignant comme l'affirme à tort le recourant. Or, lors de l'audience précitée, le Ministère public ne l'a avisé que de ses droits et obligations en lien avec sa qualité de plaignant, à l'exclusion de ceux liés à sa qualité de prévenu. Il ne l'a pas non plus informé des faits qui lui étaient reprochés. Malgré cela, lors de l'audience en question, D______ a livré des éléments à sa propre charge, admettant avoir tapé A______ avec un sac, à l'occasion de la première altercation survenue le 2 avril 2025. Il s'est par ailleurs vu présenter une photo de la blessure de celui-ci et a été invité à se déterminer à cet égard, ce qui signifie bien que cette audience avait aussi pour objet d'instruire les faits pour lesquels il était susceptible d'être prévenu. Dans la mesure où, en violation des art. 143 al. 1 et 158 al. 1 CPP, cette autorité ne l'avait préalablement informé, ni des faits pour lesquels il était prévenu, ni des droits dont il disposait en cette qualité, les déclarations qu'il a faites lors de cette audience doivent être considérées comme inexploitables, conformément à l'art. 158 al. 2 CPP, sans qu'il ne soit nécessaire de déterminer si certaines l'ont été à charge ou à décharge. La question de savoir si D______ se trouvait déjà en situation de défense obligatoire au début de l'audience du 4 avril 2025 – au vu des gestes dont A______ l'accuse de s'être rendu coupable lors des altercations survenues les 2 et 4 février 2025 et dont le Ministère public avait déjà connaissance – et, partant, si l'art. 131 CPP a également été violé, dans la mesure où il n'était assisté d'aucun défenseur, ou s'il ne l'est devenu qu'au terme de ladite audience – au vu des menaces qu'il aurait proférées à cette occasion – peut ainsi souffrir de demeurer indécise. Eu égard à l'inexploitabilité manifeste du procès-verbal litigieux, c'est à juste titre que le Ministère public a décidé de le retrancher du dossier de la procédure, sans laisser cette question à l'appréciation du juge du fond. Peu importe à cet égard que d'autres déclarations aient été faites à cette occasion, à charge ou à décharge de l'une ou l'autre des parties. Cette pièce devra être conservée à part jusqu'à la clôture définitive de la procédure, puis détruite, conformément à l'art. 141 al. 5 CPP.</w:t>
      </w:r>
    </w:p>
    <w:p>
      <w:r>
        <w:t>- 9/11 - P/3250/2025 Ce retranchement ne viole pas le droit d'être entendu du recourant. Celui-ci sera libre de réitérer ses propres affirmations lors d'une prochaine audience.</w:t>
      </w:r>
    </w:p>
    <w:p>
      <w:r>
        <w:rPr>
          <w:b/>
        </w:rPr>
        <w:t>E. 4</w:t>
      </w:r>
    </w:p>
    <w:p>
      <w:r>
        <w:t>Justifiée, la décision querellée sera donc confirmée.</w:t>
      </w:r>
    </w:p>
    <w:p>
      <w:r>
        <w:rPr>
          <w:b/>
        </w:rPr>
        <w:t>E. 5</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plaide au bénéfice d'une défense d'office. Dans la mesure où la procédure se poursuit, l'indemnité de son défenseur d'office sera fixée à la fin de la procédure (art. 135 al. 2 CPP). * * * * *</w:t>
      </w:r>
    </w:p>
    <w:p>
      <w:r>
        <w:t>- 10/11 - P/3250/2025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