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ACPR/425/2019 vom 26. März 2019</w:t>
      </w:r>
    </w:p>
    <w:p>
      <w:r>
        <w:t>GE Cour de justice, 2019-03-26, FR</w:t>
      </w:r>
    </w:p>
    <w:p>
      <w:r>
        <w:rPr>
          <w:b/>
        </w:rPr>
        <w:t xml:space="preserve">Quelle: </w:t>
      </w:r>
      <w:r>
        <w:t>https://mcp.opencaselaw.ch/entscheid/ge_gerichte_ACPR_425_2019</w:t>
      </w:r>
    </w:p>
    <w:p>
      <w:r>
        <w:t>FR: GE_GERICHTE ACPR/425/2019 du 26 mars 2019</w:t>
      </w:r>
    </w:p>
    <w:p>
      <w:r>
        <w:t>IT: GE_GERICHTE ACPR/425/2019 del 26 marzo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- 8/11 - P/17163/2018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faits qui lui sont reprochés.</w:t>
      </w:r>
    </w:p>
    <w:p>
      <w:r>
        <w:rPr>
          <w:b/>
        </w:rPr>
        <w:t>E. 2.1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arrêt du Tribunal fédéral 1B_63/2007 du 11 mai 2007 consid. 3 non publié in ATF 133 I 168). Il n'appartient cependant pas au juge de la détention de procéder à une pesée complète des éléments à charge et à décharge et d'apprécier la crédibilité des personnes qui mettent en cause le prévenu (ATF 137 IV 122 consid. 3.2 p. 126).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3.1).</w:t>
      </w:r>
    </w:p>
    <w:p>
      <w:r>
        <w:rPr>
          <w:b/>
        </w:rPr>
        <w:t>E. 2.2</w:t>
      </w:r>
    </w:p>
    <w:p>
      <w:r>
        <w:t>En l'occurrence, même si le prévenu le conteste, plusieurs témoins ont déclaré l'avoir vu participer à l'agression dont l'arbitre a été victime. En outre, certains l'ont vu frapper ce dernier. En l'état, les charges apparaissent ainsi suffisantes.</w:t>
      </w:r>
    </w:p>
    <w:p>
      <w:r>
        <w:rPr>
          <w:b/>
        </w:rPr>
        <w:t>E. 3</w:t>
      </w:r>
    </w:p>
    <w:p>
      <w:r>
        <w:t>Le recourant fait grief au TMC d'avoir retenu le risque de fuite qu'il avait expressément exclu dans l'ordonnance de mise en détention.</w:t>
      </w:r>
    </w:p>
    <w:p>
      <w:r>
        <w:rPr>
          <w:b/>
        </w:rPr>
        <w:t>E. 3.1</w:t>
      </w:r>
    </w:p>
    <w:p>
      <w:r>
        <w:t>Les décisions relatives à la détention provisoire doivent être périodiquement renouvelées (art. 227 CPP), afin notamment de garantir un examen régulier des conditions matérielles posées à l'art. 221 CPP. Cet examen est fondé sur les éléments du dossier de la procédure et peut par conséquent évoluer en fonction de l'avancement de l'instruction. Le TMC n'est dès lors pas tenu par les motifs qu'il a précédemment retenus, ni par ceux qui figurent dans la demande du Ministère public (cf. art. 226 al. 2 CPP). Il n'y a dès lors aucune violation du principe de la bonne foi lorsqu'il retient des motifs de détention qu'il aurait auparavant expressément ou implicitement écartés (arrêt du Tribunal fédéral 1B 640/2012 du 13 novembre 2012 consid. 3.2). Cela étant, l'autorité de recours applique le droit d'office, n'est pas liée par les motifs invoqués par les parties (art. 391 al. 1 let. a CPP) et dispose d'un plein pouvoir</w:t>
      </w:r>
    </w:p>
    <w:p>
      <w:r>
        <w:t>- 9/11 - P/17163/2018 d'examen, en fait comme en droit (art. 393 al. 2 CPP; cf. arrêt 1B_768/2012 du 15 janvier 2013 consid. 2.1 et les références citées).</w:t>
      </w:r>
    </w:p>
    <w:p>
      <w:r>
        <w:rPr>
          <w:b/>
        </w:rPr>
        <w:t>E. 3.2</w:t>
      </w:r>
    </w:p>
    <w:p>
      <w:r>
        <w:t>Conformément à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3.3</w:t>
      </w:r>
    </w:p>
    <w:p>
      <w:r>
        <w:t>En l'espèce, le recourant est titulaire d'un permis B et est au bénéfice d'un contrat de travail; il est marié et a une fille de 2 ans. Sa famille vit au Kosovo. Il existe dès lors effectivement un risque de fuite, que le TMC et le Ministère public qualifient toutefois de ténu. Les mesures de substitution destinées à pallier ce risque, qui avaient été acceptées par le recourant, sont l'obligation de déposer toutes pièces d'identité et permis de séjour (2.b), l'interdiction de quitter le territoire suisse (2.c) et informer la Direction de la procédure, soit le Ministère public, en l'état, de tout changement d'adresse (2.e). Elles paraissent adéquates et proportionnées. Le recourant prétend rencontrer des difficultés dans son travail faute de disposer de l'original de son permis de séjour. Il ne documente cependant d'aucune façon les désagréments causés. Il soutient l'inutilité de l'interdiction de quitter le territoire; ce faisant il n'apporte aucun élément permettant de constater que cette mesure serait disproportionnée. Le grief est rejeté.</w:t>
      </w:r>
    </w:p>
    <w:p>
      <w:r>
        <w:rPr>
          <w:b/>
        </w:rPr>
        <w:t>E. 4</w:t>
      </w:r>
    </w:p>
    <w:p>
      <w:r>
        <w:t>Le recours s'avère ainsi infondé.</w:t>
      </w:r>
    </w:p>
    <w:p>
      <w:r>
        <w:rPr>
          <w:b/>
        </w:rPr>
        <w:t>E. 5</w:t>
      </w:r>
    </w:p>
    <w:p>
      <w:r>
        <w:t>Le recourant, qui succombe, supportera les frais envers l'État, qui comprendront un émolument de CHF 900.- (art. 428 al. 1 CPP et 13 al. 1 du Règlement fixant le tarif des frais en matière pénale, RTFMP ; E 4 10.03). * * * * *</w:t>
      </w:r>
    </w:p>
    <w:p>
      <w:r>
        <w:t>- 10/11 - P/17163/2018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