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ACPR/423/2024 vom 26. Dezember 2023</w:t>
      </w:r>
    </w:p>
    <w:p>
      <w:r>
        <w:t>GE Cour de justice, 2023-12-26, FR</w:t>
      </w:r>
    </w:p>
    <w:p>
      <w:r>
        <w:rPr>
          <w:b/>
        </w:rPr>
        <w:t xml:space="preserve">Quelle: </w:t>
      </w:r>
      <w:r>
        <w:t>https://mcp.opencaselaw.ch/entscheid/ge_gerichte_ACPR_423_2024</w:t>
      </w:r>
    </w:p>
    <w:p>
      <w:r>
        <w:t>FR: GE_GERICHTE ACPR/423/2024 du 26 décembre 2023</w:t>
      </w:r>
    </w:p>
    <w:p>
      <w:r>
        <w:t>IT: GE_GERICHTE ACPR/423/2024 del 26 dicembre 2023</w:t>
      </w:r>
    </w:p>
    <w:p>
      <w:pPr>
        <w:pStyle w:val="Heading2"/>
      </w:pPr>
      <w:r>
        <w:t>Erwägungen</w:t>
      </w:r>
    </w:p>
    <w:p>
      <w:r>
        <w:rPr>
          <w:b/>
        </w:rPr>
        <w:t>E. 1.1</w:t>
      </w:r>
    </w:p>
    <w:p>
      <w:r>
        <w:t>Le recours a été déposé selon la forme prescrite (art. 385 al. 1 et 396 al. 1 CPP), concerne des décisions sujettes à recours auprès de la Chambre de céans (art. 393 al. 1 let. a CPP) et émane du titulaire du compte dont les avoirs ont été séquestrés qui, comme tiers directement touché dans ses droits (art. 105 al. 1 let. f CPP), a un intérêt juridiquement protégé à la modification ou à l'annulation des décisions querellées (art. 382 al. 1 CPP). 1.2.1. Reste à savoir si la recourante a agi dans les délais légaux. 1.2.2. Lorsqu'une ordonnance de séquestre est notifiée à la banque dépositaire, et non au titulaire du compte saisi, le départ du délai de recours, pour ce dernier, ne commence à courir que dès le moment où il a eu connaissance de la mesure de séquestre (ACPR/131/2020 du 18 février 2020 consid. 1.2). 1.2.3. En l'espèce, la recourante expose avoir eu connaissance de l'ordonnance de séquestre, notifiée à B______, le 27 mars 2024. Le délai de recours de dix jours (art. 90 al. 2 et 396 al. 1 CPP) a ainsi été respecté.</w:t>
      </w:r>
    </w:p>
    <w:p>
      <w:r>
        <w:t>- 5/12 - P/28049/2023 Par ailleurs, à défaut de notification respectant les réquisits de l'art. 85 al. 2 CPP, le recours a été formé dans les délais s'agissant de la décision de refus de consultation de dossier.</w:t>
      </w:r>
    </w:p>
    <w:p>
      <w:r>
        <w:rPr>
          <w:b/>
        </w:rPr>
        <w:t>E. 1.3</w:t>
      </w:r>
    </w:p>
    <w:p>
      <w:r>
        <w:t>Il est partant recevable.</w:t>
      </w:r>
    </w:p>
    <w:p>
      <w:r>
        <w:rPr>
          <w:b/>
        </w:rPr>
        <w:t>E. 2</w:t>
      </w:r>
    </w:p>
    <w:p>
      <w:r>
        <w:t>La recourante a préalablement requis un délai supplémentaire pour compléter son écriture, après consultation du dossier, question précisément litigieuse. Or, les délais fixés par la loi ne pouvant être prolongés (art. 89 CPP), la conclusion préalable tendant à l'obtention d'un délai supplémentaire pour compléter l'écriture ne peut qu'être rejetée, ce d'autant que la recourante a été en mesure de faire valoir de manière compréhensible ses arguments dans son acte de recours (ACPR/122/2018 du</w:t>
      </w:r>
    </w:p>
    <w:p>
      <w:r>
        <w:rPr>
          <w:b/>
        </w:rPr>
        <w:t>E. 5</w:t>
      </w:r>
    </w:p>
    <w:p>
      <w:r>
        <w:t>La recourante conteste le bien-fondé du séquestre.</w:t>
      </w:r>
    </w:p>
    <w:p>
      <w:r>
        <w:t>- 8/12 - P/28049/2023</w:t>
      </w:r>
    </w:p>
    <w:p>
      <w:r>
        <w:rPr>
          <w:b/>
        </w:rPr>
        <w:t>E. 5.1</w:t>
      </w:r>
    </w:p>
    <w:p>
      <w:r>
        <w:t>Le séquestre est une mesure de contrainte qui ne peut être ordonné,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w:t>
      </w:r>
    </w:p>
    <w:p>
      <w:r>
        <w:t>Lors de l'examen de cette mesure, l'autorité statue sous l'angle de la vraisemblance, examinant des prétentions encore incertaines. Le séquestre pénal est en effet une mesure provisoire destinée à préserver les objets ou valeurs qui peuvent servir de moyens de preuve, que le juge du fond pourrait être amené à confisquer, à restituer au lésé ou qui pourraient servir à l'exécution d'une créance compensatrice (art. 263 al. 1 let. a, c, d et e CPP).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L'autorité doit pouvoir statuer rapidement (cf. art. 263 al. 2 CPP), ce qui exclut qu'elle résolve des questions juridiques complexes ou qu'elle attende d'être renseignée de manière exacte et complète sur les faits avant d'agir (ATF 141 IV 360 consid. 3.2).</w:t>
      </w:r>
    </w:p>
    <w:p>
      <w:r>
        <w:t>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 C. PERRIER DEPEURSINGE (éds), op. cit., n. 17/22 ad art. 263).</w:t>
      </w:r>
    </w:p>
    <w:p>
      <w:r>
        <w:rPr>
          <w:b/>
        </w:rPr>
        <w:t>E. 5.2</w:t>
      </w:r>
    </w:p>
    <w:p>
      <w:r>
        <w:t>Un séquestre ne peut être prononcé à l'égard d'un tiers si celui-ci a acquis les valeurs dans l'ignorance des faits qui auraient justifié la confiscation, et cela dans la mesure où il a fourni une contre-prestation adéquate ou si la confiscation se révèle d'une rigueur excessive (art. 70 al. 2 CP). Pour qu'un séquestre puisse être refusé à ce stade de la procédure en application de l'art. 70 al. 2 CP, il faut, d'une part, qu'une confiscation soit d'emblée et indubitablement exclue, respectivement que la bonne foi du tiers soit clairement et définitivement établie. S'agissant, d'autre part, de la contre- prestation, elle doit avoir été fournie avant que le tiers ne reçoive les valeurs d'origine illégale. C'est en tenant compte de toutes les circonstances du cas d'espèce qu'il faut décider si une contre-prestation adéquate existe (arrêt du Tribunal fédéral 1B_116/2021 du 5 mai 2021 consid. 5.2).</w:t>
      </w:r>
    </w:p>
    <w:p>
      <w:r>
        <w:t>L'art. 71 al. 3 CP permet à l'autorité d'instruction de placer sous séquestre, en vue de l'exécution d'une créance compensatrice, des valeurs patrimoniales sans lien de connexité avec les faits faisant l'objet de l'instruction pénale. Les termes "personnes concernées" au sens de l'art. 71 al. 3 CP, comprennent non seulement l'auteur, mais</w:t>
      </w:r>
    </w:p>
    <w:p>
      <w:r>
        <w:t>- 9/12 - P/28049/2023 aussi, à certaines conditions, un tiers favorisé, d'une manière ou d'une autre, par l'infraction (arrêt du Tribunal fédéral 1B_213/2013 du 27 septembre 2013 consid. 4).</w:t>
      </w:r>
    </w:p>
    <w:p>
      <w:r>
        <w:t>5.3.1. À teneur de l'art. 305bis CP, se rend coupable de blanchiment d'argent quiconque qui aura commis un acte propre à entraver l'identification de l'origine, la découverte ou la confiscation de valeurs patrimoniales dont il savait ou devait présumer qu'elles provenaient d'un crime ou d'un délit fiscal qualifié.</w:t>
      </w:r>
    </w:p>
    <w:p>
      <w:r>
        <w:t>En raison de son caractère accessoire, le blanchiment d'argent exige la preuve à la fois d'un acte d'entrave, d'un crime préalable, ainsi que d'un lien entre les valeurs patrimoniales et cette infraction préalable (ATF 145 IV 335 consid. 3.1). La condamnation pour blanchiment ne suppose pas la connaissance précise du crime préalable et de son auteur. Le lien entre le crime à l'origine des fonds et le blanchiment d'argent est donc volontairement ténu. L'exigence d'un crime préalable suppose cependant que les valeurs patrimoniales proviennent d'un crime (ATF 138 IV 1 consid. 4.2.2). Le point de savoir si l'auteur du délit préalable a été poursuivi ou puni est sans pertinence. Il suffit que l'acte initial réalise les conditions objectives d'un comportement pénalement répréhensible (ATF 101 IV 402 consid. 2; arrêt du Tribunal fédéral 6B_1124/2014 du 22 septembre 2015 consid. 2.1). Ce raisonnement vaut à plus forte raison dans le cadre d'une procédure de séquestre en lien avec la possible commission d'une telle infraction, puisque cette mesure est fondée sur la vraisemblance (cf. art. 263 al. 1 CPP; arrêt du Tribunal fédéral 1B_390/2013 du 10 janvier 2014 consid. 2.3).</w:t>
      </w:r>
    </w:p>
    <w:p>
      <w:r>
        <w:t>5.3.2. L'art. 251 CP punit quiconque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w:t>
      </w:r>
    </w:p>
    <w:p>
      <w:r>
        <w:t>Sont des titres au sens de cette disposition tous les écrits destinés et propres à prouver un fait ayant une portée juridique et tous les signes destinés à prouver un tel fait (art. 110 ch. 4 CP). La volonté d'un individu ne suffit pas pour créer un titre; il est indispensable que la valeur probante de ce dernier réponde également à des critères objectifs (ATF 133 IV 36 consid. 4.1; 129 IV 53 consid. 2.2). Un simple mensonge écrit ne constitue donc pas un faux intellectuel (arrêt du Tribunal fédéral 6B_184/2013 du 1er octobre 2013 consid. 6.2).</w:t>
      </w:r>
    </w:p>
    <w:p>
      <w:r>
        <w:rPr>
          <w:b/>
        </w:rPr>
        <w:t>E. 5.4</w:t>
      </w:r>
    </w:p>
    <w:p>
      <w:r>
        <w:t>En l'espèce, il ressort de la dénonciation du MROS portant sur le compte bancaire ouvert au nom de A______ SA que C______ – ayant droit économique de la société précitée – aurait, au moyen de prêts simulés, concouru à la diminution du bilan de E______ LTD, au moment où celle-ci, son actionnaire principal, et le groupe de sociétés lui appartenant, voyaient leurs avoirs gelés dans le cadre d'une</w:t>
      </w:r>
    </w:p>
    <w:p>
      <w:r>
        <w:t>- 10/12 - P/28049/2023 procédure pénale ouverte en Italie. Dite dénonciation – provenant d'une autorité étatique, dont la mission est d'analyser les informations reçues des intermédiaires financiers, puis de les transférer aux autorités pénales, lorsque des soupçons fondés permettent notamment de présumer qu'une infraction au sens de l'art. 305bis CP a été commise ou que des valeurs patrimoniales proviennent d'un crime – est à même de fonder des soupçons suffisants au prononcé d'un séquestre (cf. ACPR/333/2021 du 20 mai 2021 consid. 6.4, confirmé par arrêt du Tribunal fédéral 1B_321/2021 du 29 octobre 2021). Le fait que les contrats de prêt constituent – ou pas, comme le soutient la recourante –, des faux intellectuels ne préjuge pas de l'origine des avoirs séquestrés, étant précisé que la procédure pénale en Italie a été ouverte pour délit fiscal qualifié et blanchiment d'argent.</w:t>
      </w:r>
    </w:p>
    <w:p>
      <w:r>
        <w:t>Par ailleurs, les explications de la recourante portant sur le bonus de C______ exigible de E______ LTD – respectivement sur les "deux accords de remplacement d'une partie" – apparaissent sujets à caution et nécessitent des investigations complémentaires de la part du Ministère public. Ce d'autant que d'après la dénonciation du MROS, le prévenu aurait – sans pièces à l'appui – annoncé, fin 2021, à son gérant de fortune indépendant avoir vendu ses parts dans E______ LTD et que les prêts reçus par A______ SA lui avaient été transférés en compensation de ladite vente. En tout état de cause, au regard des positions occupées par le prévenu dans E______ LTD et A______ SA, la bonne foi de la dernière nommée, s'agissant de l'origine de avoirs séquestrés, ne peut pas, à ce stade de la procédure, être clairement et définitivement établie.</w:t>
      </w:r>
    </w:p>
    <w:p>
      <w:r>
        <w:t>Enfin, dans la mesure où l'instruction de la cause n'en est qu'à ses prémices, l'ordonnance litigieuse respecte le principe de la proportionnalité.</w:t>
      </w:r>
    </w:p>
    <w:p>
      <w:r>
        <w:t>Partant, le séquestre, en tant qu'il pourrait permettre une éventuelle confiscation des fonds, voire une créance compensatrice, apparaît justifiée.</w:t>
      </w:r>
    </w:p>
    <w:p>
      <w:r>
        <w:rPr>
          <w:b/>
        </w:rPr>
        <w:t>E. 6</w:t>
      </w:r>
    </w:p>
    <w:p>
      <w:r>
        <w:t>Justifiées, l'ordonnance et la décision querellées seront donc confirmées.</w:t>
      </w:r>
    </w:p>
    <w:p>
      <w:r>
        <w:rPr>
          <w:b/>
        </w:rPr>
        <w:t>E. 7</w:t>
      </w:r>
    </w:p>
    <w:p>
      <w:r>
        <w:t>La recourante, qui succombe, supportera les frais envers l'État, fixés en totalité à CHF 1'500.- (art. 428 al. 1 CPP et 13 al. 1 du Règlement fixant le tarif des frais en matière pénale, RTFMP ; E 4 10.03). * * * * *</w:t>
      </w:r>
    </w:p>
    <w:p>
      <w:r>
        <w:t>- 11/12 - P/28049/2023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