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ACPR/423/2022 vom 11. April 2022</w:t>
      </w:r>
    </w:p>
    <w:p>
      <w:r>
        <w:t>GE Cour de justice, 2022-04-11, FR</w:t>
      </w:r>
    </w:p>
    <w:p>
      <w:r>
        <w:rPr>
          <w:b/>
        </w:rPr>
        <w:t xml:space="preserve">Quelle: </w:t>
      </w:r>
      <w:r>
        <w:t>https://mcp.opencaselaw.ch/entscheid/ge_gerichte_ACPR_423_2022</w:t>
      </w:r>
    </w:p>
    <w:p>
      <w:r>
        <w:t>FR: GE_GERICHTE ACPR/423/2022 du 11 avril 2022</w:t>
      </w:r>
    </w:p>
    <w:p>
      <w:r>
        <w:t>IT: GE_GERICHTE ACPR/423/2022 del 11 aprile 2022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237 al. 4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l'existence de charges suffisantes.</w:t>
      </w:r>
    </w:p>
    <w:p>
      <w:r>
        <w:rPr>
          <w:b/>
        </w:rPr>
        <w:t>E. 2.1</w:t>
      </w:r>
    </w:p>
    <w:p>
      <w:r>
        <w:t>À teneur de l'art. 221 al. 1 CPP, la détention provisoire suppose que le prévenu est fortement soupçonné d'avoir commis un crime ou un délit.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(ATF 143 IV 330 consid. 2.1).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(ATF 143 IV 316 consid. 3.2). Il n'est en revanche pas nécessaire de prouver les éléments de la qualification déjà au moment de statuer sur l'admissibilité de la mesure (ATF 129 IV 188 consid. 3.2.3).</w:t>
      </w:r>
    </w:p>
    <w:p>
      <w:r>
        <w:rPr>
          <w:b/>
        </w:rPr>
        <w:t>E. 2.2</w:t>
      </w:r>
    </w:p>
    <w:p>
      <w:r>
        <w:t>En l'espèce, le recourant est prévenu d'infraction grave à la LStup, non seulement en raison de la résine de cannabis trouvée dans son véhicule mais également pour sa participation à un trafic plus large portant à tout le moins sur 422 kg de haschich soit celle également trouvée dans l'utilitaire 2______ dont le taux va jusqu'à 14.7% pour le THC et jusqu'à 5% pour le CBD. En outre, en l'état de la législation, la résine de</w:t>
      </w:r>
    </w:p>
    <w:p>
      <w:r>
        <w:t>- 7/10 - P/18730/2020 cannabis présentant un taux inférieur à 1% est toujours visée par la LStup. Enfin, il appartiendra au juge du fond d'apprécier la force probante des rapports de la police. Le recourant passe en outre sous silence qu'il lui est également reproché une infraction à l'art. 286 CP. Des charges suffisantes existent donc à son encontre.</w:t>
      </w:r>
    </w:p>
    <w:p>
      <w:r>
        <w:rPr>
          <w:b/>
        </w:rPr>
        <w:t>E. 3</w:t>
      </w:r>
    </w:p>
    <w:p>
      <w:r>
        <w:t>Le recourant soutient, sous l'angle du risque de fuite, que la prolongation des mesures de substitution à son encontre violerait le principe de proportionnalité au vu de la mise en liberté de son coprévenu. Il conteste l'existence d'un risque de collusion. La Chambre de céans peine à comprendre le premier argument. Ledit coprévenu a été remis en liberté avec les mêmes mesures de substitution que le recourant; on ne voit pas quelle serait la violation du principe de la proportionnalité ce d'autant plus qu'il ne s'agit pas de savoir si un autre prévenu bénéficierait actuellement d'une libération accordée à tort. Le recourant ne s'exprime pas sur l'existence du risque de fuite retenu ni sur la disproportion des mesures de substitution ordonnées pour le pallier. S'il conteste également l'existence d'un risque de collusion, faute pour le Procureur de préciser les actes d'instruction pour retrouver d'autres comparses qui pourraient être entravées par la réalisation de ce risque, il ne s'exprime pas sur celui persistant de convenir d'une version commune avec ses comparses identifiés. Cela étant, il oublie que c'est au regard du degré d'importance des risques retenus qu'il a été remis en liberté et n'expose pas en quoi il serait entravé par les mesures de substitution ordonnées lesquelles sont particulièrement peu coercitives, ni en particulier lesquelles devraient être levées.</w:t>
      </w:r>
    </w:p>
    <w:p>
      <w:r>
        <w:rPr>
          <w:b/>
        </w:rPr>
        <w:t>E. 4</w:t>
      </w:r>
    </w:p>
    <w:p>
      <w:r>
        <w:t>Le recours s'avère par conséquent infondé et doit être rejeté.</w:t>
      </w:r>
    </w:p>
    <w:p>
      <w:r>
        <w:rPr>
          <w:b/>
        </w:rPr>
        <w:t>E. 5</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prévenu dans ce cadre, même si cette question ne peut être examinée qu'avec une certaine retenue. La désignation d'un conseil d'office pour la procédure pénale principale n'est en effet pas un blanc-seing pour introduire des recours aux frais de l'État, notamment contre des décisions de détention provisoire (arrêt du Tribunal fédéral 1B_516/2020 consid. 5.1), dont les mesures de substitution sont un succédané. À la lumière de ces principes, et bien que le recours doit être considéré comme dénué de chances de succès, s'agissant du premier recours devant la Chambre de céans,</w:t>
      </w:r>
    </w:p>
    <w:p>
      <w:r>
        <w:t>- 8/10 - P/18730/2020 l'assistance judicaire sera accordée et l'indemnité fixée à la fin de la procédure (art. 135 al. 2 CPP).</w:t>
      </w:r>
    </w:p>
    <w:p>
      <w:r>
        <w:rPr>
          <w:b/>
        </w:rPr>
        <w:t>E. 6</w:t>
      </w:r>
    </w:p>
    <w:p>
      <w:r>
        <w:t>Le recourant, qui n'a pas gain de cause, assumera les frais de la procédure de recours, fixés à CHF 1'000.-, émolument compris (art. 428 al. 1 CPP et 13 al. 1 du Règlement fixant le tarif des frais en matière pénale, RTFMP; E 4 10.03). * * * * *</w:t>
      </w:r>
    </w:p>
    <w:p>
      <w:r>
        <w:t>- 9/10 - P/18730/2020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