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ACPR/420/2017 vom 22. Mai 2017</w:t>
      </w:r>
    </w:p>
    <w:p>
      <w:r>
        <w:t>GE Cour de justice, 2017-05-22, FR</w:t>
      </w:r>
    </w:p>
    <w:p>
      <w:r>
        <w:rPr>
          <w:b/>
        </w:rPr>
        <w:t xml:space="preserve">Quelle: </w:t>
      </w:r>
      <w:r>
        <w:t>https://mcp.opencaselaw.ch/entscheid/ge_gerichte_ACPR_420_2017</w:t>
      </w:r>
    </w:p>
    <w:p>
      <w:r>
        <w:t>FR: GE_GERICHTE ACPR/420/2017 du 22 mai 2017</w:t>
      </w:r>
    </w:p>
    <w:p>
      <w:r>
        <w:t>IT: GE_GERICHTE ACPR/420/2017 del 22 maggio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- 4/8 - P/14824/2015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invoquant une rupture du lien de confiance avec son défenseur d'office, demande la révocation de ce dernier et la nomination de Me C______ en lieu et place.</w:t>
      </w:r>
    </w:p>
    <w:p>
      <w:r>
        <w:rPr>
          <w:b/>
        </w:rPr>
        <w:t>E. 3.1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Message du Conseil fédéral du 21 décembre 2005 relatif à l'unification du droit de la procédure, FF 2006 1057, spéc. 1159 [ci-après message]; cf. arrêts rendus avant l'entrée en vigueur du CPP: ATF 105 Ia 296 consid. 1d p. 302; arrêts 1B_74/ 2008 du 18 juin 2008 consid. 2 et 1B_245/2008 du 11 novembre 2008 consid. 2; arrêt CourEDH Croissant contre Allemagne du 25 septembre 1992, § 29). L'art. 133 al. 2 CPP ne garantit pas au détenu le droit de choisir librement son défenseur d'office. Le droit du prévenu de proposer un avocat d'office ne fonde en effet pas d'obligation pour la direction de la procédure de désigner l'avocat proposé (arrêt du Tribunal fédéral 1B_387/2012 du 24 janvier 2013 consid. 4.3).</w:t>
      </w:r>
    </w:p>
    <w:p>
      <w:r>
        <w:rPr>
          <w:b/>
        </w:rPr>
        <w:t>E. 3.2</w:t>
      </w:r>
    </w:p>
    <w:p>
      <w:r>
        <w:t>Une demande de remplacement du défenseur d'office ne peut ainsi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cependant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w:t>
      </w:r>
    </w:p>
    <w:p>
      <w:r>
        <w:t>- 5/8 - P/14824/2015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(éds), Commentaire romand : Code de procédure pénale suisse, Bâle 2011, n. 20-22 ad art. 134).</w:t>
      </w:r>
    </w:p>
    <w:p>
      <w:r>
        <w:rPr>
          <w:b/>
        </w:rPr>
        <w:t>E. 3.3</w:t>
      </w:r>
    </w:p>
    <w:p>
      <w:r>
        <w:t>En l'espèce, le recourant invoque une perte de confiance en son défenseur, mais on peine à voir, dans les exemples qu'il donne, un motif objectif de rupture de ce lien, pas plus qu'une violation objective, par l'avocat, de son devoir d'assistance. Que le recourant n'ait, à ce jour, pas encore obtenu de jugement pour toutes les "petites" procédures en cours contre lui n'établit pas, en soi, que son avocat aurait démérité ou que l'on puisse lui reprocher un comportement préjudiciable aux intérêts de son client. C'est bien plutôt en raison de l'impossibilité d'interpeller le prévenu – qui a dû être placé sous mandat d'arrêt – et de l'ampleur des actes découverts dans plusieurs cantons depuis son interpellation, que la procédure est toujours en cours (cf. ACPR/1______ précité). Le défenseur du recourant a, d'ailleurs, et contrairement aux craintes formulées par celui-ci, déjà formé quatre recours dans la présente procédure, en lien avec la détention provisoire. Par ailleurs, les divergences de vues sur les moyens de défense et les difficultés de communication alléguées par le recourant, notamment avec l'avocate-stagiaire, ne sont pas de nature, en l'espèce, à justifier une révocation du mandat, sous peine de vider de son sens l'art. 134 al. 2 CPP, puisqu'il suffirait qu'un prévenu soulève, alors qu'aucune raison objective ne le justifie, un problème de communication, voire refuse d'adresser la parole à son avocat, pour obtenir, en tout temps, le remplacement de son défenseur d'office. In casu, aucun élément du dossier ne permet de retenir que la défense du recourant ne serait pas assurée de manière suffisamment efficace, ni même que la relation de confiance serait atteinte, a fortiori gravement. En effet, en six mois de procédure, on ne discerne pas de manquements de l'avocat, qui auraient trait à des initiatives préjudiciables aux intérêts du recourant. La demande apparaît ainsi motivée par des raisons purement subjectives qui ne justifient pas le changement du défenseur d'office, au regard des conditions strictes de l'art. 134 al. 2 CPP. Le prévenu, qui bénéfice d'une défense d'office prise en charge par l'État, ne peut pas choisir librement son défenseur. Au vu de l'ensemble de ces éléments, c'est à bon droit que le Ministère public a refusé de relever Me B______ de sa mission.</w:t>
      </w:r>
    </w:p>
    <w:p>
      <w:r>
        <w:t>- 6/8 - P/14824/2015</w:t>
      </w:r>
    </w:p>
    <w:p>
      <w:r>
        <w:rPr>
          <w:b/>
        </w:rPr>
        <w:t>E. 4</w:t>
      </w:r>
    </w:p>
    <w:p>
      <w:r>
        <w:t>Justifiée, l'ordonnance querellée sera donc confirmée.</w:t>
      </w:r>
    </w:p>
    <w:p>
      <w:r>
        <w:rPr>
          <w:b/>
        </w:rPr>
        <w:t>E. 5</w:t>
      </w:r>
    </w:p>
    <w:p>
      <w:r>
        <w:t>Le recourant, qui succombe, supportera les frais envers l'État, qui comprendront un émolument de CHF 500.- (art. 428 al. 1 CPP et 13 al. 1 du Règlement fixant le tarif des frais en matière pénale, RTFMP ; E 4 10.03). * * * * *</w:t>
      </w:r>
    </w:p>
    <w:p>
      <w:r>
        <w:t>- 7/8 - P/14824/2015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