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ACPR/41/2023 vom 9. August 2022</w:t>
      </w:r>
    </w:p>
    <w:p>
      <w:r>
        <w:t>GE Cour de justice, 2022-08-09, FR</w:t>
      </w:r>
    </w:p>
    <w:p>
      <w:r>
        <w:rPr>
          <w:b/>
        </w:rPr>
        <w:t xml:space="preserve">Quelle: </w:t>
      </w:r>
      <w:r>
        <w:t>https://mcp.opencaselaw.ch/entscheid/ge_gerichte_ACPR_41_2023</w:t>
      </w:r>
    </w:p>
    <w:p>
      <w:r>
        <w:t>FR: GE_GERICHTE ACPR/41/2023 du 9 août 2022</w:t>
      </w:r>
    </w:p>
    <w:p>
      <w:r>
        <w:t>IT: GE_GERICHTE ACPR/41/2023 del 9 agosto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fait grief au Ministère public d'avoir constaté de manière erronée et incomplète les faits. Dès lors que la Chambre de céans jouit d'un plein pouvoir de cognition en droit et en fait (art. 393 al. 2 CPP) (ATF 137 I 195 consid. 2.3.2 p. 197 ; arrêt du Tribunal fédéral 1B_524/2012 du 15 novembre 2012 consid. 2.1.), les éventuelles</w:t>
      </w:r>
    </w:p>
    <w:p>
      <w:r>
        <w:t>- 6/12 - P/13288/2022 constatations incomplètes ou inexactes du Ministère public auront été corrigées dans l'état de fait établi ci-devant.</w:t>
      </w:r>
    </w:p>
    <w:p>
      <w:r>
        <w:rPr>
          <w:b/>
        </w:rPr>
        <w:t>E. 3</w:t>
      </w:r>
    </w:p>
    <w:p>
      <w:r>
        <w:t>La recourante reproche également au Ministère public de ne pas être entré en matière sur sa plainte.</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 imposent de renoncer à l'ouverture d'une poursuite pénale (let. c). Ces conditions doivent être interprétées à la lumière de la maxime in dubio pro duriore. Celle-ci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w:t>
      </w:r>
    </w:p>
    <w:p>
      <w:r>
        <w:rPr>
          <w:b/>
        </w:rPr>
        <w:t>E. 3.2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(Y. JEANNERET / A. KUHN / C. PERRIER DEPEURSINGE (éds), Commentaire romand : Code de procédure pénale suisse, 2ème éd., Bâle 2019, n. 9 ad art. 310).</w:t>
      </w:r>
    </w:p>
    <w:p>
      <w:r>
        <w:rPr>
          <w:b/>
        </w:rPr>
        <w:t>E. 3.3</w:t>
      </w:r>
    </w:p>
    <w:p>
      <w:r>
        <w:t>Il existe un empêchement de procéder au sens de l'art. 310 al. 1 let. b CPP par exemple lorsque le délai pour déposer plainte prévu par l'art. 31 CP – trois mois dès</w:t>
      </w:r>
    </w:p>
    <w:p>
      <w:r>
        <w:t>- 7/12 - P/13288/2022 le jour ou l'ayant droit a connu l'auteur de l'infraction – n'a pas été respecté (arrêt du Tribunal fédéral 6B_848/2018 du 4 décembre 2018 consid. 1.5).</w:t>
      </w:r>
    </w:p>
    <w:p>
      <w:r>
        <w:rPr>
          <w:b/>
        </w:rPr>
        <w:t>E. 3.4</w:t>
      </w:r>
    </w:p>
    <w:p>
      <w:r>
        <w:t>L'art. 8 al. 1 CPP prévoit que le ministère public peut renoncer à toute poursuite pénale, notamment lorsque les conditions visées aux art. 52 à 54 CP sont remplies.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 La première condition à remplir pour l'application de l'art. 53 CP est que le prévenu ait réparé le dommage ou accompli tous les efforts que l'on pouvait raisonnablement attendre de lui pour compenser le tort causé. La réparation peut prendre la forme du versement d'un dédommagement, pour autant qu'une réparation en nature soit effectivement possible ou que le dommage puisse être chiffré. Si le prévenu n'est pas en mesure de réparer le dommage dans son intégralité, il lui reste la possibilité d'apporter la preuve qu'il a essayé, en accomplissant tous les efforts que l'on pouvait raisonnablement attendre de lui, de compenser le tort qu'il a causé. En outre, d'autres formes de réparation sont envisageables, comme des excuses ou la fourniture d'une prestation au profit de la personne lésée. Dans sa nouvelle teneur au 1er juillet 2019, l'exemption de peine en cas de réparation n'est désormais possible que si la peine encourue est une peine privative de liberté d'un an au plus avec sursis, une peine pécuniaire avec sursis ou une amende (let. a). Ce n'est pas le type de sanction qui est déterminant, mais le sursis accordé à l'exécution de la peine (art. 42 al. 1 CP). En outre, l'auteur doit avoir admis les faits (let. c). Les aveux ne peuvent porter que sur des faits, et non sur la qualification juridique du comportement de l'auteur. Selon la jurisprudence du Tribunal fédéral, il faut que les faits à charge aient été établis pour pouvoir renoncer à une mise en accusation ou à la saisie du tribunal. Par conséquent, une interruption de la procédure n'est indiquée que dans des cas très évidents (cf. Rapport de la Commission des affaires juridiques du Conseil national du 3 mai 2018 sur l'initiative parlementaire "Modifier l'art. 53 CP", FF 2018 3881). Dans la perspective de la prévention générale, la confiance de la collectivité peut être renforcée, lorsque l'auteur reconnaît avoir violé une norme pénale et s'efforce de rétablir la paix publique. Ainsi, lorsque l'auteur de l'infraction persiste à nier l'illicéité de son acte, on ne peut conclure, malgré la réparation du dommage, qu'il a reconnu et assumé sa faute dans une mesure telle que l'intérêt public au prononcé d'une sanction serait devenu si ténu que l'on puisse y renoncer. En d'autres termes, pour bénéficier d'un classement ou d'une exemption de peine, le prévenu doit démontrer par la</w:t>
      </w:r>
    </w:p>
    <w:p>
      <w:r>
        <w:t>- 8/12 - P/13288/2022 réparation du dommage qu'il assume ses responsabilités et reconnaît notamment le caractère illicite ou du moins incorrect de son acte (ATF 135 IV 12 consid. 3.5.3; arrêts du Tribunal fédéral 6B_130/2016 du 21 novembre 2016 consid.3.1 et 6B_152/2007 du 13 mai 2008 consid. 5.2.3 et 5.2.4).</w:t>
      </w:r>
    </w:p>
    <w:p>
      <w:r>
        <w:rPr>
          <w:b/>
        </w:rPr>
        <w:t>E. 3.5</w:t>
      </w:r>
    </w:p>
    <w:p>
      <w:r>
        <w:t>L'art. 122 CP réprime notamment le comportement de celui qui, intentionnellement, aura mutilé le corps d'une personne, un de ses membres ou un de ses organes importants ou causé à une personne une incapacité de travail, une infirmité ou une maladie mentale permanentes, ou aura intentionnellement fait subir à une personne toute autre atteinte grave à l'intégrité corporelle ou à la santé physique ou mentale. L'art. 123 CP, intitulé lésions corporelles simples, concerne les lésions du corps humain ou de la santé qui ne peuvent être qualifiées de graves au sens de l'art. 122 CP. Il protège l'intégrité corporelle et la santé tant physique que psychique. Les voies de fait, réprimées par l'art. 126 CP, se définissent comme des atteintes physiques qui excèdent ce qui est socialement toléré et qui ne causent ni lésions corporelles, ni dommage à la santé; il s'agit généralement de contusions, de meurtrissures, d'écorchures ou de griffures (ATF 119 IV 25 consid. 2a). Les infractions aux art. 123 et 126 CP se poursuivent, soit sur plainte (al. 1), soit d'office si l'auteur est le partenaire de la victime, pour autant qu'ils fassent ménage commun pour une durée indéterminée et que l'atteinte ait été commise durant cette période ou dans l'année qui a suivi la séparation (art. 123 al. 2 5ème § et 126 al. 2 let. c CP). Cette hypothèse vise une relation de concubinage stable (arrêts du Tribunal fédéral 6B_757/2020 du 4 novembre 2020 consid 2.2 et 6B_1057/2015 du 25 mai 2016 consid. 1.1), ce par quoi il faut entendre une communauté de vie d'une certaine durée, voire durable, entre deux personnes, qui présente une composante tant spirituelle que corporelle et économique, et qui est parfois désignée comme une communauté de toit, de table et de lit. Si plusieurs années de vie commune sont certes un élément parlant en faveur d’une telle relation, elles ne sont pas à elles seules décisives. Le juge doit procéder dans chaque cas à une appréciation de l'ensemble des circonstances de la vie commune (ATF 138 III 157 consid. 2.3.3; arrêts du Tribunal fédéral 6B_757/2020 et 6B_1057/2015 précités).</w:t>
      </w:r>
    </w:p>
    <w:p>
      <w:r>
        <w:rPr>
          <w:b/>
        </w:rPr>
        <w:t>E. 3.6</w:t>
      </w:r>
    </w:p>
    <w:p>
      <w:r>
        <w:t>En l'espèce, concernant les faits constitutifs de violation de domicile (art. 186 CP) et d'appropriation illégitime (art. 137 CP), voire vol (art. 139 CP) – soit de s'être introduit chez la recourante et d'avoir pris des outils et plusieurs bagues, – le prévenu s'est présenté de lui-même à la police, a avoué ces actes et a déclaré les regretter. Il a en outre restitué l'intégralité des objets subtilisés.</w:t>
      </w:r>
    </w:p>
    <w:p>
      <w:r>
        <w:t>- 9/12 - P/13288/2022 Dans ces circonstances, et s'agissant uniquement des infractions précitées, on peut valablement retenir que le prévenu a réparé le dommage causé et pris conscience du caractère illicite de son comportement, dans la mesure où l'on ne voit pas quels efforts supplémentaires on aurait raisonnablement pu attendre de lui. Pour les mêmes motifs, tant l'intérêt public que l'intérêt privé de la recourante à la poursuite du prévenu apparaissent peu importants. Enfin, l'application du sursis n'étant pas contestée, cette condition sera considérée comme admise. C'est donc à juste titre que le Ministère public a fait application de l'art. 53 CP.</w:t>
      </w:r>
    </w:p>
    <w:p>
      <w:r>
        <w:rPr>
          <w:b/>
        </w:rPr>
        <w:t>E. 3.7</w:t>
      </w:r>
    </w:p>
    <w:p>
      <w:r>
        <w:t>S'agissant des violences physiques et psychiques alléguées, qui se seraient produites le 27 novembre 2021, voire antérieurement, les documents médicaux et les messages produits ne permettent pas de retenir la qualification de lésions corporelles graves. Les faits dénoncés étant susceptibles d'être constitutifs de lésions corporelles simples, ils sont poursuivis sur plainte. Il ressort des documents médicaux produits à l'appui du recours que la recourante a consulté immédiatement, le 27 novembre 2021, de sorte qu'elle connaissait tant les lésions que l'auteur. Or, la plainte déposée le 19 avril 2022, soit bien après le délai de trois mois depuis les faits (art. 31 CP) est tardive, de sorte qu'il existe un empêchement de procéder au sens de l'art. 310 al. 1 let. b CPP. Les conditions d'une poursuite d'office selon l'art. 123 ch. 2 5ème paragraphe CP ne sont par ailleurs pas réalisées. En effet, il ressort des déclarations de la recourante qu'elle n'avait jamais fait ménage commun avec le prévenu. Ils n'ont ainsi pas constitué une communauté présentant une composante spirituelle, corporelle ni économique, telle que requise par la jurisprudence applicable. En outre, les documents produits, en particulier les messages échangés de part et d'autre par les intéressés – dont la recourante ne désigne aucun passage en particulier –, ne permettent pas de retenir que des violences, de surcroît pouvant être qualifiées de graves au sens de l'art. 122 CP, auraient perduré au-delà du 27 novembre 2021.</w:t>
      </w:r>
    </w:p>
    <w:p>
      <w:r>
        <w:rPr>
          <w:b/>
        </w:rPr>
        <w:t>E. 3.8</w:t>
      </w:r>
    </w:p>
    <w:p>
      <w:r>
        <w:t>Pour ce qui est du dégonflement du pneu, il n'a été constaté que le surlendemain de la nuit du 15 au 16 avril 2022 et le prévenu a nié en être à l'origine. Dans ces circonstances, c'est également à raison que le Ministère public relève qu'aucun soupçon suffisant ne permet de retenir, pour autant qu'on puisse qualifier cet acte de dommage à la propriété au sens de l'art. 144 CP, que le prévenu en soit l'auteur. En outre, on ne voit pas quel acte d'enquête serait propre à établir les faits, y compris celui proposé. En effet, même si, par hypothèse, l'instruction devait démontrer que le pneu ne s'était pas dégonflé tout seul, cette conclusion ne signifierait pas pour autant que le prévenu serait à l'origine de l'intervention. Partant, la décision de non-entrée en matière ne souffre aucune critique.</w:t>
      </w:r>
    </w:p>
    <w:p>
      <w:r>
        <w:t>- 10/12 - P/13288/2022</w:t>
      </w:r>
    </w:p>
    <w:p>
      <w:r>
        <w:rPr>
          <w:b/>
        </w:rPr>
        <w:t>E. 4</w:t>
      </w:r>
    </w:p>
    <w:p>
      <w:r>
        <w:t>Justifiée, l'ordonnance querellée sera donc confirmée.</w:t>
      </w:r>
    </w:p>
    <w:p>
      <w:r>
        <w:rPr>
          <w:b/>
        </w:rPr>
        <w:t>E. 5</w:t>
      </w:r>
    </w:p>
    <w:p>
      <w:r>
        <w:t>La recourante, qui succombe, supportera les frais envers l'État, qui seront fixés en totalité à CHF 900.- (art. 428 al. 1 CPP et 13 al. 1 du Règlement fixant le tarif des frais en matière pénale, RTFMP ; E 4 10.03). * * * * *</w:t>
      </w:r>
    </w:p>
    <w:p>
      <w:r>
        <w:t>- 11/12 - P/13288/2022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