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ACPR/41/2022 vom 17. Dezember 2020</w:t>
      </w:r>
    </w:p>
    <w:p>
      <w:r>
        <w:t>GE Cour de justice, 2020-12-17, FR</w:t>
      </w:r>
    </w:p>
    <w:p>
      <w:r>
        <w:rPr>
          <w:b/>
        </w:rPr>
        <w:t xml:space="preserve">Quelle: </w:t>
      </w:r>
      <w:r>
        <w:t>https://mcp.opencaselaw.ch/entscheid/ge_gerichte_ACPR_41_2022</w:t>
      </w:r>
    </w:p>
    <w:p>
      <w:r>
        <w:t>FR: GE_GERICHTE ACPR/41/2022 du 17 décembre 2020</w:t>
      </w:r>
    </w:p>
    <w:p>
      <w:r>
        <w:t>IT: GE_GERICHTE ACPR/41/2022 del 17 dicembre 2020</w:t>
      </w:r>
    </w:p>
    <w:p>
      <w:pPr>
        <w:pStyle w:val="Heading2"/>
      </w:pPr>
      <w:r>
        <w:t>Volltext</w:t>
      </w:r>
    </w:p>
    <w:p>
      <w:r>
        <w:t>REPUBLIQUE ET</w:t>
      </w:r>
    </w:p>
    <w:p>
      <w:r>
        <w:t>CANTON DE GENEVE POUVOIR JUDICIAIRE P/11310/2020 ACPR/41/2022 COUR DE JUSTICE Chambre pénale de recours Arrêt du lundi 24 janvier 2022</w:t>
      </w:r>
    </w:p>
    <w:p>
      <w:r>
        <w:t>Entre A______, domiciliée ______ [VD], comparant par Me Sophie BOBILLIER, avocate, BOLIVAR BATOU BOBILLIER, rue des Pâquis 35, 1201 Genève, recourante contre l'ordonnance de non-entrée en matière rendue le 17 décembre 2020 par le Ministère public et B______, domicilié ______ [GE], comparant par Me Valérie MALAGOLI-PACHE, avocate, VMP AVOCATS, avenue Perdtemps 3, case postale, 1260 Nyon 1, LE MINISTÈRE PUBLIC de la République et canton de Genève, route de Chancy 6B, 1213 Petit-Lancy - case postale 3565, 1211 Genève 3, intimés</w:t>
      </w:r>
    </w:p>
    <w:p>
      <w:r>
        <w:t>- 2/3 - P/11310/2020 Vu : - le recours formé par A______ contre l'ordonnance de non-entrée en matière rendue le 17 décembre 2020 par le Ministère public; - l'arrêt rendu par la Chambre de céans le 18 mars 2021 (ACPR/179/2021); - l'arrêt rendu le 22 décembre 2021 par le Tribunal fédéral (6B_488/2021), qui : o admet le recours de A______, o annule l'arrêt de la Chambre de céans et o renvoie la cause à l’autorité cantonale pour nouvelle décision. Attendu que : - selon l'arrêt de renvoi du Tribunal fédéral, les circonstances du cas d'espèce justifient d'instruire la situation de fait et d'examiner la crédibilité des déclarations des intéressés, les conditions d'une non-entrée en matière n'étant pas réunies (consid. 5.8). Considérant, en droit, que : - au vu des exigences posées par le Tribunal fédéral, et notamment l'éventualité d'une confrontation (consid. 5.7.), l'ouverture d'une instruction s'impose; - les frais du présent arrêt seront laissés à la charge de l'État; - la recourante, ayant recouru en personne sur le plan cantonal, ne se verra pas allouer de dépens. * * * * *</w:t>
      </w:r>
    </w:p>
    <w:p>
      <w:r>
        <w:t>- 3/3 - P/11310/2020</w:t>
      </w:r>
    </w:p>
    <w:p>
      <w:r>
        <w:t>PAR CES MOTIFS, LA COUR :</w:t>
      </w:r>
    </w:p>
    <w:p>
      <w:r>
        <w:t>Annule l'ordonnance de non-entrée en matière rendue le 17 décembre 2020 et enjoint au Ministère public d'ouvrir une instruction contre B______ des chefs de contrainte sexuelle (art. 189 CP), viol (art. 190 CP) et actes d'ordre sexuel commis sur une personne incapable de discernement ou de résistance (art. 191 CP). Laisse les frais de la procédure de recours à la charge de l'État. Ordonne la restitution des sûretés versées par A______. Notifie le présent arrêt ce jour, en copie, à la recourante (soit, pour elle, son conseil), à B______ (soit, pour lui, son défenseur) et au Ministère public.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