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ACPR/418/2026 vom 27. April 2026</w:t>
      </w:r>
    </w:p>
    <w:p>
      <w:r>
        <w:t>GE Cour de justice, 2026-04-27, FR</w:t>
      </w:r>
    </w:p>
    <w:p>
      <w:r>
        <w:rPr>
          <w:b/>
        </w:rPr>
        <w:t xml:space="preserve">Quelle: </w:t>
      </w:r>
      <w:r>
        <w:t>https://mcp.opencaselaw.ch/entscheid/ge_gerichte_ACPR_418_2026</w:t>
      </w:r>
    </w:p>
    <w:p>
      <w:r>
        <w:t>FR: GE_GERICHTE ACPR/418/2026 du 27 avril 2026</w:t>
      </w:r>
    </w:p>
    <w:p>
      <w:r>
        <w:t>IT: GE_GERICHTE ACPR/418/2026 del 27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précité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précité consid. 4.2; 145 IV 263 précité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précité consid. 3.4 et les références citées; arrêts du Tribunal fédéral 7B_529/2025 du 26 janvier 2026, consid. 3.1.3; 1B_259/2022 précité consid. 4.3; 1B_230/2022 du 7 septembre 2022 consid. 2.2).</w:t>
      </w:r>
    </w:p>
    <w:p>
      <w:r>
        <w:t>- 5/9 - P/20599/2024</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constitutifs de délit à la LStup, dès lors qu'il avait déjà été soupçonné pour des faits similaires. Le recourant ne prétend, à juste titre, pas que les conditions de l’art. 255 al. 1bis CPP ne seraient pas réalisées. Il a en effet déjà été condamné, le 31 mars 2025, pour délit contre la loi fédérale sur les stupéfiants, soit pour des agissements qui dépassent le stade de la simple consommation personnelle, laquelle a fait l'objet d'une contravention en sus. Au moment de l’établissement de son profil d’ADN, il faisait en outre l’objet d’une procédure en cours, pour des infractions à la LEI (art. 115 al. 1 let. a LEI, art. 119 al. 1 LEI), faux dans les certificats (art. 252 CP) et délit contre la loi sur les stupéfiants (art. 19bis LStup). À cela s’ajoute que dans le cadre de la procédure P/26556/2025, il a été contrôlé par la police dans le quartier des Pâquis, lieu notoirement connu pour le trafic des stupéfiants, en possession de près de CHF 500.-, en petites coupures, dont il explique qu’ils proviendraient d’un emploi en France, ce qu’il ne prouve nullement. Ces éléments, additionnés à une situation personnelle non établie, soit une absence de domicile fixe et un revenu allégué non étayé,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l'affaire en question, l'intéressé ne s’était jamais vu reprocher des infractions</w:t>
      </w:r>
    </w:p>
    <w:p>
      <w:r>
        <w:t>- 6/9 - P/20599/2024 autres qu’à la LEI, contrairement au recourant. De plus, ici, la présence du recourant dans un quartier notoirement connu pour le trafic de stupéfiants est de nature à interpeller, ce d'autant qu’il était en possession d’argent de provenance douteuse, ce qui renforce le soupçon qu’il pourrait s’adonner régulièrement à du trafic de stupéfiants. Pour le surplus, les infractions à la LStup susceptibles d'être élucidées revêtent également une certaine gravité eu égard à la santé publique (arrêt du Tribunal fédéral 7B_584/2025 du 9 mars 2026 consid. 2.4.3). Il s'agit d'ailleurs d'un des cas expressément listés par la Directive A.5 du Procureur général (cf. n. 4.3) qui, bien que n'ayant pas force de loi, est fondée sur l'art. 255 al. 1bis CPP, lequel autorise l'établissement d'un profil d'ADN pour les infractions passées (arrêt du Tribunal fédéral 7B_584/2025 précité, consid. 2.5). Le recourant soutient qu'ordonner un nouvel établissement de son profil d'ADN alors qu'un tel profil, immuable, avait déjà été établi plusieurs fois par le passé, serait arbitraire. La Chambre de céans est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w:t>
      </w:r>
    </w:p>
    <w:p>
      <w:r>
        <w:t>- 7/9 - P/20599/2024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22 novembre 2025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- 8/9 - P/20599/2024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