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ACPR/417/2019 vom 19. Dezember 2018</w:t>
      </w:r>
    </w:p>
    <w:p>
      <w:r>
        <w:t>GE Cour de justice, 2018-12-19, FR</w:t>
      </w:r>
    </w:p>
    <w:p>
      <w:r>
        <w:rPr>
          <w:b/>
        </w:rPr>
        <w:t xml:space="preserve">Quelle: </w:t>
      </w:r>
      <w:r>
        <w:t>https://mcp.opencaselaw.ch/entscheid/ge_gerichte_ACPR_417_2019</w:t>
      </w:r>
    </w:p>
    <w:p>
      <w:r>
        <w:t>FR: GE_GERICHTE ACPR/417/2019 du 19 décembre 2018</w:t>
      </w:r>
    </w:p>
    <w:p>
      <w:r>
        <w:t>IT: GE_GERICHTE ACPR/417/2019 del 19 dicembre 2018</w:t>
      </w:r>
    </w:p>
    <w:p>
      <w:pPr>
        <w:pStyle w:val="Heading2"/>
      </w:pPr>
      <w:r>
        <w:t>Erwägungen</w:t>
      </w:r>
    </w:p>
    <w:p>
      <w:r>
        <w:rPr>
          <w:b/>
        </w:rPr>
        <w:t>E. 1</w:t>
      </w:r>
    </w:p>
    <w:p>
      <w:r>
        <w:t>Le recours est recevable pour avoir été déposé selon la forme et dans le délai prescrits (art. 3 al. 1 PPMin, 385 al. 1 et 396 al. 1 CPP), concerner une ordonnance sujette à recours auprès de la Chambre de céans (art. 3 al. 1, 39 al. 1 PPMin et 393 al. 1 let. a CPP) et émaner du plaignant qui, partie à la procédure (art. 18 let. c PPMin), a qualité pour agir, ayant un intérêt juridiquement protégé à la modification ou à l'annulation de la décision querellée (art. 38 al. 3 PPMin et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le bien-fondé de l'ordonnance de non-entrée en matière. 3.1.1. Aux termes de l'art. 310 al. 1 let. a CPP, le ministère public rend immédiate- 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Celui-ci découle du principe de la légalité (art. 5 al. 1 Cst.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3.1.2. Selon l'art. 310 al. 1 let. b CPP, le ministère public rend également une ordonnance de non-entrée en matière lorsqu'il existe des empêchements de procéder. Par empêchement de procéder, on entend notamment l'incompétence à raison du lieu (ACPR/488/2014 du 31 octobre 2014) ou de la matière (ACPR/554/2012 du</w:t>
      </w:r>
    </w:p>
    <w:p>
      <w:r>
        <w:rPr>
          <w:b/>
        </w:rPr>
        <w:t>E. 3.2</w:t>
      </w:r>
    </w:p>
    <w:p>
      <w:r>
        <w:t>En l'espèce, on relèvera d'emblée que, bien que mentionnant l'existence d'un empêchement de procéder au sens de l'art. 310 al. 1 let. b CPP – hypothèse qui n'entre manifestement pas en considération ici –, la motivation de l'ordonnance querellée se rattache en réalité à la let. a de cette même disposition, soit l'absence de conditions à l'ouverture de l'action pénale. À cet égard, il faut reconnaître, avec le recourant, que la mise en cause a bel et bien reconnu, lors de son audition à la police dans le cadre de la procédure P/1______/2018, l'avoir menacé d'un coup de pied aux testicules, l'avoir traité de "fils de pute" et fait un geste avec des clés en direction de son crâne. Cet aveu ne permettait donc pas à la juge des mineurs de retenir, dans son ordonnance de non- entrée en matière, le caractère contradictoire des déclarations en cause. Il n'en demeure pas moins que les infractions entrant en considération dans ce cadre, soit l'injure et les éventuelles voies de fait, remplissent assurément les conditions du cas de peu d'importance de l'art. 52 CP, eu égard au contexte dans lequel elles ont été commises – soit une remontrance qui dégénère en altercation – et de leur résultat chez le recourant, bénin, si ce n'est insignifiant. Sous cet angle, l'ordonnance querellée ne peut qu'être confirmée, par substitution de motifs, en application de l'art. 310 al. 1 let. c cum 8 al. 1 CPP. Quant à l'accusation de dénonciation calomnieuse (art. 303 CP) liée à "l'étrangle- ment" allégué par la mise en cause, il ressort de la procédure P/1______/2018 que les propos de cette dernière ont été en partie confirmés par les déclarations des témoins présents ce jour-là, notamment celles de E______, et par une rougeur sur la partie gauche de son visage, de sorte que l'élément subjectif de la dénonciation calomnieuse – soit le fait que l'auteur sait la victime innocente des faits dont il l'accuse (cf. M.</w:t>
      </w:r>
    </w:p>
    <w:p>
      <w:r>
        <w:t>- 6/8 - P/23170/2018 DUPUIS et al. (éds), Code pénal, Petit commentaire, 2e éd., Bâle 2017, n. 23 ad art. 303 CP) – ne peut être retenu en l'espèce. L'ordonnance querellée doit donc également être confirmée, sur la base cette fois de l'art. 310 al. 1 let. a CPP. 4. Justifiée, l'ordonnance querellée, exempte de critiques dans son résultat, sera donc confirmée, par substitution de motifs (arrêt du Tribunal fédéral 1B_137/2012 du 25 juillet 2012 consid. 4.3). 5. Le recourant, qui succombe, supportera les frais envers l'État, fixés en totalité à CHF 900.- (art. 428 al. 1 CPP et 13 al. 1 du Règlement fixant le tarif des frais en matière pénale, RTFMP; RSG E 4 10.03). * * * * *</w:t>
      </w:r>
    </w:p>
    <w:p>
      <w:r>
        <w:t>- 7/8 - P/23170/2018</w:t>
      </w:r>
    </w:p>
    <w:p>
      <w:r>
        <w:rPr>
          <w:b/>
        </w:rPr>
        <w:t>E. 6</w:t>
      </w:r>
    </w:p>
    <w:p>
      <w:r>
        <w:t>décembre 2012), l'interdiction de la double poursuite (ATF 144 IV 362 consid. 1.3.2 p. 366) ou encore la renonciation à porter plainte pour une infraction dont la poursuite en dépend (cf. art. 30 al. 5 CP). 3.1.3. Enfin, à teneur de l'art. 310 al. 1 let. c CPP, le ministère public rend immédiatement une ordonnance de non-entrée en matière si les conditions mentionnées à l'art. 8 CPP imposent de renoncer à l'ouverture d'une poursuite pénale.</w:t>
      </w:r>
    </w:p>
    <w:p>
      <w:r>
        <w:t>- 5/8 - P/23170/2018 L'art. 8 al. 1 CPP stipule que le ministère public et les tribunaux renoncent à toute poursuite pénale lorsque le droit fédéral le prévoit, notamment lorsque les conditions visées à l'art. 52 CP sont remplies. Cette dernière disposition énonce que si la culpabilité de l'auteur et les conséquences de son acte – conditions cumulatives – sont peu importantes, l'autorité compétente renonce à lui infliger une peine. Si les conditions de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(tels que l'écoulement du temps depuis la commission de l'infraction; ATF 135 IV 130 consid. 5.4 p. 137).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