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ACPR/415/2018 vom 9. April 2018</w:t>
      </w:r>
    </w:p>
    <w:p>
      <w:r>
        <w:t>GE Cour de justice, 2018-04-09, FR</w:t>
      </w:r>
    </w:p>
    <w:p>
      <w:r>
        <w:rPr>
          <w:b/>
        </w:rPr>
        <w:t xml:space="preserve">Quelle: </w:t>
      </w:r>
      <w:r>
        <w:t>https://mcp.opencaselaw.ch/entscheid/ge_gerichte_ACPR_415_2018</w:t>
      </w:r>
    </w:p>
    <w:p>
      <w:r>
        <w:t>FR: GE_GERICHTE ACPR/415/2018 du 9 avril 2018</w:t>
      </w:r>
    </w:p>
    <w:p>
      <w:r>
        <w:t>IT: GE_GERICHTE ACPR/415/2018 del 9 aprile 2018</w:t>
      </w:r>
    </w:p>
    <w:p>
      <w:pPr>
        <w:pStyle w:val="Heading2"/>
      </w:pPr>
      <w:r>
        <w:t>Erwägungen</w:t>
      </w:r>
    </w:p>
    <w:p>
      <w:r>
        <w:rPr>
          <w:b/>
        </w:rPr>
        <w:t>E. 1</w:t>
      </w:r>
    </w:p>
    <w:p>
      <w:r>
        <w:t>Le recours a été déposé selon la forme et – faute de notification conforme à l'art. 85 al. 2 CPP – dans le délai prescrits (art. 385 al. 1 et 396 al. 1 CPP) et concerne une ordonnance sujette à recours auprès de la Chambre de céans (art. 393 al. 1 let. a CPP). L'art. 305bis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tant qu'elle était partie plaignante dans la procédure dirigée contre E______ et F______ et que ceux-ci ont été déclarés coupables de nombreux détournements au préjudice de A______, dont elle est le successeur, la recourante a qualité pour agir et dispose d'un intérêt juridiquement protégé à l'annulation ou à la modification de la décision attaquée (art. 382 al. 1 CPP).</w:t>
      </w:r>
    </w:p>
    <w:p>
      <w:r>
        <w:t>- 4/8 - P/6261/2018 Elle n'a en revanche pas qualité pour recourir à raison de faits touchant des relations bancaires dont A______ n'était pas titulaire (qu'il s'agisse en particulier de comptes au nom des prévenus ou de G______ S.A.). Dans cette mesure, il n'y a pas à s'interroger sur ce que la recourante appelle "la double charge/occasion" d'une des banques, soit de s'intéresser aussi aux transferts crédités sur une autre relation chez elle (cf. acte de recours p. 10 ch. 55).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unique moyen, la recourante soutient que les banques, en position de garantes, s'étaient livrées au blanchiment aggravé des crimes patrimoniaux perpétrés par E______ et F______. Elle ne conteste pas que les banques n'avaient pas agi par métier, au sens de l'art. 305bis ch. 2 al. 2 let. c CP, mais affirme que le cas restait grave, la loi ne limitant pas le nombre de ces cas.</w:t>
      </w:r>
    </w:p>
    <w:p>
      <w:r>
        <w:rPr>
          <w:b/>
        </w:rPr>
        <w:t>E. 3.1</w:t>
      </w:r>
    </w:p>
    <w:p>
      <w:r>
        <w:t>Le blanchiment d'argent (art. 305bis CP) est intentionnel, le dol éventuel étant suffisant; il peut être réalisé par omission si l'auteur se trouvait dans une position de garant qui entraînait pour lui une obligation juridique d'agir (ATF 136 IV 188 consid. 6.2 p. 191 s. et les références citées). Le directeur de la succursale d'une banque est un garant en matière de lutte contre le blanchiment d'argent (ATF précité consid. 6.2.2. p. 197), tout comme le membre du comité de direction d'une succursale bancaire (arrêt du Tribunal fédéral 6B_919/2009 du 3 novembre 2010 consid. 6.2), un responsable de secteur d'une banque (arrêt du Tribunal fédéral 6B_729/2010 du</w:t>
      </w:r>
    </w:p>
    <w:p>
      <w:r>
        <w:rPr>
          <w:b/>
        </w:rPr>
        <w:t>E. 3.2</w:t>
      </w:r>
    </w:p>
    <w:p>
      <w:r>
        <w:t>La liste des circonstances aggravantes figurant à l’art. 305bis ch. 2 CP n’est pas exhaustive, comme le montre l’adverbe "notamment". Même si une telle interprétation paraît difficilement compatible avec le principe de précision de la loi pénale et le plafond de la peine privative de liberté prévue (N. HERREN, Le blanchiment d'argent dans la jurisprudence des tribunaux fédéraux, PJA 2017 p. 1122) et ne doit être admis qu'avec une grande prudence (C. GRABER, Geldwäscherei, thèse, Berne 1990, p. 153), le Tribunal fédéral admet que des situations non prévues aux let. a–c de l’art. 305bis ch. 2 CP puissent, du fait de leurs caractéristiques concrètes, réaliser le cas grave sous une autre forme, à condition que les faits incriminés atteignent un poids spécifique comparable aux situations expressément prévues par la loi (arrêt du Tribunal fédéral 6B_535/2014 du 5 janvier</w:t>
      </w:r>
    </w:p>
    <w:p>
      <w:r>
        <w:t>- 5/8 - P/6261/2018 2016 consid. 3.2.1 non traduit in SJ 2016 I 214). A ainsi été admise une telle circonstance aggravante dans un cas où, tant du point de vue du montant total des valeurs blanchies (CHF 3,4 millions) que des modalités suivies pour les actes de blanchiment, la dimension répréhensible globale sur laquelle portaient les infractions (commises par un avocat) correspondait à celle de la circonstance aggravante du métier au sens de l’art. 305bis ch. 2 let. c CP (arrêt du Tribunal fédéral 1013/2010 du 17 mai 2011 consid. 6.3). On peut penser aussi aux actes de blanchiment portant sur des valeurs issues de crimes de guerre ou de génocide, ou encore le blanchiment d’argent appartenant à une organisation criminelle pour des millions de francs suisses (arrêt du Tribunal fédéral 6B_217/2013 du 28 juillet 2014 consid. 4.1). En revanche, la nature ou l'intensité de la faute de l'auteur ne joue pas de rôle, quand bien même les actes de blanchiment seraient nombreux, s'étendraient sur une longue période et impliqueraient des montants très élevés (arrêt du Tribunal fédéral 6B_535/2014, précité, consid. 3.2.3.). C'est en effet par les règles sur le concours d'infractions (art. 47 CP) que s'appréhendent ces éléments, faute de quoi l'interdiction de la double prise en considération ("Doppelverwertungsverbot"; cf. ATF 118 IV 342 consid. 2a p. 347) serait enfreinte.</w:t>
      </w:r>
    </w:p>
    <w:p>
      <w:r>
        <w:rPr>
          <w:b/>
        </w:rPr>
        <w:t>E. 3.3</w:t>
      </w:r>
    </w:p>
    <w:p>
      <w:r>
        <w:t>À la lumière de ces principes, le grief de la recourante est privé de fondement. A______ avait pour but des opérations de gestion pour son propre compte. La recourante ne tente pas de décrire en quoi les transferts décrits dans l'acte d'accusation visaient à camoufler l'origine des fonds reçus par la société et à entraver leur confiscation par les autorités pénales. En réalité, seule F______ a dû répondre de blanchiment d'argent, et la recourante n'a pas expliqué sur la base de quels indices les banques touchées et leurs auxiliaires auraient consciemment et volontairement participé aux processus d'entrave à la confiscation mis en œuvre par la condamnée. Elle se contente d'affirmations selon lesquelles les banques eussent dû clarifier l'arrière-plan économique des transactions opérées par les deux prévenus sur les comptes de A______, sans jamais exposer en quoi telle ou telle transaction paraissait inhabituelle (art. 6 al. 2 let. a LBA) ou impliquer des valeurs patrimoniales de provenance criminelle (art. 6 al. 2 let. b LBA), ni sur la base de quels soupçons fondés les banques eussent dû alerter le bureau de communication MROS (art. 9 al. 1 let. a ch. 2 LBA). Quoi qu'il en soit, et contrairement à ce qu'elle semble penser, si ces obligations légales créent la position de garant (ATF 138 IV 188 consid. 6.2.2 p. 197), encore faut-il déterminer l'étendue du devoir de diligence découlant de cette position et les actes concrets que l'intermédiaire financier était tenu d'accomplir (ATF précité, consid. 6.3 p. 197). On ne voit pas en quoi la fréquence, l'ampleur ou le montant des transactions passées sur les comptes des recourants suffirait à eux seuls. Quant aux informations "alarmantes" dont elle affirme que les banques disposaient "manifestement", la recourante se garde bien d'en donner la teneur.</w:t>
      </w:r>
    </w:p>
    <w:p>
      <w:r>
        <w:t>- 6/8 - P/6261/2018 Or, à partir du moment où les prévenus étaient des représentants autorisés, voire des organes, du détenteur des comptes, A______, et que les opérations ordonnées par eux restaient conformes au but de la relation ouverte, on ne voit pas en quoi les banques et leurs auxiliaires se seraient rendus coupables, chacun pour lui-même, d'omissions, qui plus est d'une gravité telle qu'elles s'assimileraient aux exemples discutés en jurisprudence. Peu importe à cet égard que certains transferts fussent intervenus vers d'autre(s) compte(s) au sein d'un même établissement. Comme l'a relevé le Ministère public, la recourante confond gravité de la faute et circonstance aggravante. Lorsqu'elle prétend que les "strictes obligations de compliance" des banques aggraveraient, au sens de l'art. 305bis ch. 2 CP, les actes de blanchiment qu'elle leur reproche, la recourante perd de vue que le fait de n'avoir pas communiqué (art. 9 LBA) de soupçon de blanchiment au bureau de communication MROS (recours p. 19) ne tombe, précisément, pas sous le coup de l'art. 305bis CP, mais de l'art. 37 LBA, qui prévoit une simple amende et qui n'est, du reste, pas de la compétence répressive des autorités de poursuite pénale, au sens de l'art. 12 CPP (cf. art. 50 al. 1 et 1 al. 1, let. f, LFINMA; RS 956.1). 4. Selon l'art. 310 al. 1 let. b CPP, le ministère public rend immédiatement une ordonnance de non-entrée en matière s'il existe un empêchement de procéder. Tel est le cas de la prescription de l'action publique (L. MOREILLON / A. PAREIN- REYMOND, CPP, Code de procédure pénale, Bâle 2016, 2e éd., n. 13 ad art. 310). En l'espèce – à supposer suffisant le soupçon de blanchiment d'argent –, les faits seraient atteints par la prescription, dès lors qu'aucune circonstance aggravante n'apparaît réalisée. En effet, comme l'a constaté le Ministère public, le dernier débit d'un compte de A______ éventuellement constitutif de blanchiment "simple" (art. 305bis ch. 1 CP) remonte au 17 août 2007 (p. 24 de l'acte d'accusation, mouvement n° 3.65), soit il y a plus de sept ans (art. 97 al. 1 let. c aCP, dans sa teneur avant le 1er janvier 2014, applicable au titre de lex mitior, cf. art. 389 al. 1 CP; cf. aussi FF 2012 8541 et RO 2013 4418). Les dispositions valables pour la prescription de l'infraction de référence sont aussi applicables à l'entreprise (arrêt du Tribunal fédéral 6B_7/2014 du 21 juillet 2014 consid. 3.4.4.). La décision du Ministère public est donc conforme au droit. 5. La recourante, qui succombe, supportera les frais envers l'État, qui comprendront un émolument de décision (art. 428 al. 1 CPP et 13 al. 1 du Règlement fixant le tarif des frais en matière pénale, RTFMP; E 4 10.03) et seront fixés en totalité à CHF 1'500.-.</w:t>
      </w:r>
    </w:p>
    <w:p>
      <w:r>
        <w:t>- 7/8 - P/6261/2018</w:t>
      </w:r>
    </w:p>
    <w:p>
      <w:r>
        <w:rPr>
          <w:b/>
        </w:rPr>
        <w:t>E. 8</w:t>
      </w:r>
    </w:p>
    <w:p>
      <w:r>
        <w:t>décembre 2011 consid. 4.3 non publié aux ATF 138 IV 1) ou l'associé-gérant d'un intermédiaire financier régulièrement affilié à un organisme d'auto-régulation (arrêt du Tribunal fédéral 6B_649/2015 du 4 mai 2016 consid. 1.2). Une entreprise peut se rendre coupable de blanchiment d'argent s'il doit lui être reproché de ne pas avoir pris toutes les mesures d'organisation raisonnables et nécessaires pour empêcher une telle infraction (art. 102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