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ACPR/414/2024 vom 15. Dezember 2022</w:t>
      </w:r>
    </w:p>
    <w:p>
      <w:r>
        <w:t>GE Cour de justice, 2022-12-15, FR</w:t>
      </w:r>
    </w:p>
    <w:p>
      <w:r>
        <w:rPr>
          <w:b/>
        </w:rPr>
        <w:t xml:space="preserve">Quelle: </w:t>
      </w:r>
      <w:r>
        <w:t>https://mcp.opencaselaw.ch/entscheid/ge_gerichte_ACPR_414_2024</w:t>
      </w:r>
    </w:p>
    <w:p>
      <w:r>
        <w:t>FR: GE_GERICHTE ACPR/414/2024 du 15 décembre 2022</w:t>
      </w:r>
    </w:p>
    <w:p>
      <w:r>
        <w:t>IT: GE_GERICHTE ACPR/414/2024 del 15 dicembre 2022</w:t>
      </w:r>
    </w:p>
    <w:p>
      <w:pPr>
        <w:pStyle w:val="Heading2"/>
      </w:pPr>
      <w:r>
        <w:t>Erwägungen</w:t>
      </w:r>
    </w:p>
    <w:p>
      <w:r>
        <w:rPr>
          <w:b/>
        </w:rPr>
        <w:t>E. 1.1</w:t>
      </w:r>
    </w:p>
    <w:p>
      <w:r>
        <w:t>La compétence de la Chambre de céans pour statuer sur le recours interjeté découle désormais de l'arrêt de renvoi du Tribunal fédéral du 12 mars 2024.</w:t>
      </w:r>
    </w:p>
    <w:p>
      <w:r>
        <w:rPr>
          <w:b/>
        </w:rPr>
        <w:t>E. 1.2</w:t>
      </w:r>
    </w:p>
    <w:p>
      <w:r>
        <w:t>Le recours est au surplus recevable pour avoir été déposé dans la forme et le délai prescrits (art. 385 al. 1 et 396 al 1 CPP) et émaner du condamné visé par la</w:t>
      </w:r>
    </w:p>
    <w:p>
      <w:r>
        <w:t>- 8/13 - PS/85/2022 décision querellée, qui a un intérêt juridiquement protégé à son annulation (art. 382 al. 1 CPP).</w:t>
      </w:r>
    </w:p>
    <w:p>
      <w:r>
        <w:rPr>
          <w:b/>
        </w:rPr>
        <w:t>E. 1.3</w:t>
      </w:r>
    </w:p>
    <w:p>
      <w:r>
        <w:t>Partant, il est recevable.</w:t>
      </w:r>
    </w:p>
    <w:p>
      <w:r>
        <w:rPr>
          <w:b/>
        </w:rPr>
        <w:t>E. 1.4</w:t>
      </w:r>
    </w:p>
    <w:p>
      <w:r>
        <w:t>La procédure devant la Chambre de céans est régie par le CPP, applicable au titre de droit cantonal supplétif (art. 42 al. 2 LaCP).</w:t>
      </w:r>
    </w:p>
    <w:p>
      <w:r>
        <w:rPr>
          <w:b/>
        </w:rPr>
        <w:t>E. 2</w:t>
      </w:r>
    </w:p>
    <w:p>
      <w:r>
        <w:t>Le recourant invoque une violation de son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L'autorité doit ainsi mentionner, au moins brièvement, les motifs qui l'ont guidé et sur lesquels elle a fondé son prononcé.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(ATF 143 III 65 consid. 5.3; arrêt du Tribunal fédéral 6B_5/2022 du 8 juin 2022 consid. 2.1.1).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w:t>
      </w:r>
    </w:p>
    <w:p>
      <w:r>
        <w:rPr>
          <w:b/>
        </w:rPr>
        <w:t>E. 2.2</w:t>
      </w:r>
    </w:p>
    <w:p>
      <w:r>
        <w:t>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ce qui est le cas pour l'autorité de recours (art. 391 al. 1 CPP; arrêt du Tribunal fédéral 1B_574/2020 du 3 décembre 2020 consid. 4.1). Une telle réparation dépend de la gravité et de l'étendue de l'atteinte portée au droit d'être entendu et doit rester l'exception (ATF 135 I 276 consid. 2.6.1).</w:t>
      </w:r>
    </w:p>
    <w:p>
      <w:r>
        <w:rPr>
          <w:b/>
        </w:rPr>
        <w:t>E. 2.3</w:t>
      </w:r>
    </w:p>
    <w:p>
      <w:r>
        <w:t>Si une garantie procédurale n'a pas été respectée, il convient, autant que possible, de remettre la personne lésée dans la situation qui aurait été la sienne si l'exigence en cause n'avait pas été méconnue ; en matière de violation du droit d'être entendu, la réparation consiste à renvoyer le dossier à l'autorité intimée pour qu'elle rende une nouvelle décision (ACPR/658/2023 du 21 août 2023 consid. 2.2).</w:t>
      </w:r>
    </w:p>
    <w:p>
      <w:r>
        <w:t>- 9/13 - PS/85/2022</w:t>
      </w:r>
    </w:p>
    <w:p>
      <w:r>
        <w:rPr>
          <w:b/>
        </w:rPr>
        <w:t>E. 2.4</w:t>
      </w:r>
    </w:p>
    <w:p>
      <w:r>
        <w:t>L'art. 66a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w:t>
      </w:r>
    </w:p>
    <w:p>
      <w:r>
        <w:t>À teneur de l'art. 66a al. 2 CP, le juge peut exceptionnellement renoncer à une expulsion lorsque celle-ci mettrait l’étranger dans une situation personnelle grave et que les intérêts publics à l’expulsion ne l’emportent pas sur l’intérêt privé de l’étranger à demeurer en Suisse. La loi ne définissant pas ce qui constitue une "situation personnelle grave", il convient de se référer aux critères qui président à l'octroi d'une autorisation de séjour dans les cas d'extrême gravité (cf. art. 31 OASA; ATF 144 IV 332 consid. 3.3.1).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w:t>
      </w:r>
    </w:p>
    <w:p>
      <w:r>
        <w:t>- 10/13 - PS/85/2022 La personne dont la décision d'expulsion est entrée en force n'a, dans cette mesure, pas d'intérêt à recourir contre une simple décision de mise en œuvre de son expulsion (ATF 147 IV 453 consid. 1.4.6).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2.5</w:t>
      </w:r>
    </w:p>
    <w:p>
      <w:r>
        <w:t>En l'espèce, le recourant invoque des bouleversements majeurs et significatifs en lien avec sa situation familiale depuis le précédent examen de l'OCPM ayant donné lieu à la décision de non-report d'expulsion du 5 février 2020, qu'il a dûment documentés dans sa demande de report d'expulsion du 31 mai 2022. Or, dans sa décision querellée, qui constitue une (nouvelle) décision de non-report de l'exécution de l'expulsion, l'OCPM a simplement considéré que la situation personnelle de l'intéressé, et plus particulièrement ses liens avec ses enfants, avait déjà été prise en considération et écartée dans sa décision du 5 février 2020, confirmée par la Chambre de céans et le Tribunal fédéral. Cette autorité n'a aucunement procédé à une réévaluation de la situation familiale du recourant à la lumière des nouveaux faits exposés, ne les mentionnant du reste même pas. Ce faisant, elle a contrevenu à son obligation de motivation garantie par l'art. 29 Cst., laquelle n'a pas été réparée par-devant la Chambre de céans. En effet, dans ses observations sur le recours, l'OCPM se réfère à nouveau à une situation factuelle antérieure, soit celle appréhendée dans l'arrêt du 18 janvier 2021 de la Chambre pénale d'appel et de révision, laquelle est devenue obsolète, compte tenu des développements survenus subséquemment dans la vie du recourant. Partant, la Chambre de céans n'est pas en mesure d'exercer son contrôle, ce d'autant que la situation personnelle de l'intéressé n'a cessé d'évoluer depuis le dépôt de son recours – le 5 décembre 2022 – avec sa libération intervenue le 26 janvier 2023, l'octroi de la garde partagée sur sa fille E______ et l'extension de son droit de visite sur son fils F______. Le Ministère public n'en disconvient du reste pas. Conformément au principe du double degré de juridiction, la décision querellée sera annulée et la cause renvoyée à l'autorité précédente pour qu'elle examine et motive sa position à l'aune de la situation personnelle et familiale actualisée du recourant, le cas</w:t>
      </w:r>
    </w:p>
    <w:p>
      <w:r>
        <w:t>- 11/13 - PS/85/2022 échéant après avoir procédé aux actes d'instruction utiles, et rende une nouvelle décision.</w:t>
      </w:r>
    </w:p>
    <w:p>
      <w:r>
        <w:rPr>
          <w:b/>
        </w:rPr>
        <w:t>E. 3</w:t>
      </w:r>
    </w:p>
    <w:p>
      <w:r>
        <w:t>Le recours sera donc admis.</w:t>
      </w:r>
    </w:p>
    <w:p>
      <w:r>
        <w:rPr>
          <w:b/>
        </w:rPr>
        <w:t>E. 4</w:t>
      </w:r>
    </w:p>
    <w:p>
      <w:r>
        <w:t>L'admission du recours ne donne pas lieu à la perception de frais (art. 428 al. 1 CPP).</w:t>
      </w:r>
    </w:p>
    <w:p>
      <w:r>
        <w:rPr>
          <w:b/>
        </w:rPr>
        <w:t>E. 5</w:t>
      </w:r>
    </w:p>
    <w:p>
      <w:r>
        <w:t>Le recourant sollicite l'assistance judiciaire pour le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5.2</w:t>
      </w:r>
    </w:p>
    <w:p>
      <w:r>
        <w:t>En l'espèce, il peut être supposé que le recourant est indigent, celui-ci bénéficiant de l'aide de l'Hospice général. On peut en outre admettre que la cause présentait une certaine complexité pour un profane.</w:t>
      </w:r>
    </w:p>
    <w:p>
      <w:r>
        <w:t>Dans ces circonstances, la désignation d'un défenseur d'office devant l'instance de recours apparaît nécessaire. Le recourant, qui procède par deux conseils dont il précise qu'ils interviennent conjointement dans la mesure où ils travaillent dans la même étude, ne sollicite finalement la désignation que d'un seul des deux, indifféremment. Partant, il sera pourvu de Me B______ (art. 133 al. 1 et 2 CPP).</w:t>
      </w:r>
    </w:p>
    <w:p>
      <w:r>
        <w:rPr>
          <w:b/>
        </w:rPr>
        <w:t>E. 5.3</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et à CHF 150.- de l'heure pour un collaborateur. Seules les heures nécessaires sont retenues; elles sont appréciées en fonction, notamment, de la nature, l'importance et les difficultés de la cause, de la qualité du travail fourni et du résultat obtenu (art. 16 al. 2 RAJ).</w:t>
      </w:r>
    </w:p>
    <w:p>
      <w:r>
        <w:rPr>
          <w:b/>
        </w:rPr>
        <w:t>E. 5.4</w:t>
      </w:r>
    </w:p>
    <w:p>
      <w:r>
        <w:t>En l'occurrence, le recourant chiffre et détaille l'activité de ses conseils pour la procédure par-devant la Chambre de céans, note d'honoraires du 13 mai 2024 à l'appui, à CHF 7'957.-, TVA comprise, majorés du forfait de 20% pour les courriers et téléphones, correspondant à 3h30 au tarif de CHF 200.- et à 21h00 au tarif de CHF 150.- pour la rédaction du recours, 5h30 au tarif de CHF 150.- pour l'étude du dossier en 2024 et 18h00 au tarif de CHF 150.- pour la réplique.</w:t>
      </w:r>
    </w:p>
    <w:p>
      <w:r>
        <w:t>- 12/13 - PS/85/2022</w:t>
      </w:r>
    </w:p>
    <w:p>
      <w:r>
        <w:t>Nonobstant l'ampleur des écritures (de 33 pages pour le recours et 28 pour la réplique), celles-ci sont essentiellement factuelles. La difficulté de la cause sous l'angle juridique est en outre relative. L'activité rédactionnelle sera ainsi réduite de moitié et donc ramenée à 1h45 à CHF 200.- l'heure et à 10h30 à CHF 150.- l'heure pour le recours ainsi qu'à 9h00 pour la réplique. Le nombre d'heures consacré à l'étude du dossier sera quant à lui réduit à 4h00, ce qui paraît amplement suffisant au vu du litige.</w:t>
      </w:r>
    </w:p>
    <w:p>
      <w:r>
        <w:t>Les prestations fournies jusqu'au 31 décembre 2023 sont soumises au taux de TVA de 7.7%, tandis que celles fournies à compter du 1er janvier 2024 seront soumises au nouveau taux de 8.1%.</w:t>
      </w:r>
    </w:p>
    <w:p>
      <w:r>
        <w:t>L'indemnité totale allouée sera ainsi fixée à CHF 4'181.20 TTC (CHF 1'925.- plus TVA à 7.7% + CHF 1'350.- plus TVA à 8.1% + CHF 600.- plus TVA à 8.1%), étant précisé que le forfait de 20% pour les courriers et téléphone ne se justifie pas en instance de recours (ACPR/762/2018 du 14 décembre 2018). * * * * *</w:t>
      </w:r>
    </w:p>
    <w:p>
      <w:r>
        <w:t>- 13/13 - PS/85/2022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