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ACPR/413/2024 vom 13. Mai 2024</w:t>
      </w:r>
    </w:p>
    <w:p>
      <w:r>
        <w:t>GE Cour de justice, 2024-05-13, FR</w:t>
      </w:r>
    </w:p>
    <w:p>
      <w:r>
        <w:rPr>
          <w:b/>
        </w:rPr>
        <w:t xml:space="preserve">Quelle: </w:t>
      </w:r>
      <w:r>
        <w:t>https://mcp.opencaselaw.ch/entscheid/ge_gerichte_ACPR_413_2024</w:t>
      </w:r>
    </w:p>
    <w:p>
      <w:r>
        <w:t>FR: GE_GERICHTE ACPR/413/2024 du 13 mai 2024</w:t>
      </w:r>
    </w:p>
    <w:p>
      <w:r>
        <w:t>IT: GE_GERICHTE ACPR/413/2024 del 13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recourant estime ne présenter aucun risque de réitération et propose, si un tel risque devait toutefois être retenu, des mesures de substitution selon lui aptes à le pallier.</w:t>
      </w:r>
    </w:p>
    <w:p>
      <w:r>
        <w:rPr>
          <w:b/>
        </w:rPr>
        <w:t>E. 3.1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(cf. arrêt du Tribunal fédéral 7B_155/2024,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t>- 7/11 - P/13211/2023</w:t>
      </w:r>
    </w:p>
    <w:p>
      <w:r>
        <w:rPr>
          <w:b/>
        </w:rPr>
        <w:t>E. 3.2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du 5 mars 2024, destiné à la publication, consid. 3.2 et 7B_1025/2023 du 23 janvier 2024 consid. 3.2).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3.3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soumettre à un traitement médical ou à des contrôles (al. 2 let. f).</w:t>
      </w:r>
    </w:p>
    <w:p>
      <w:r>
        <w:rPr>
          <w:b/>
        </w:rPr>
        <w:t>E. 3.4</w:t>
      </w:r>
    </w:p>
    <w:p>
      <w:r>
        <w:t>En l'espèce, le recourant n'a certes commis qu'un vol, en 2012, soit il y a plus de dix ans, mais cet antécédent révèle son inclination pour ce type d'infraction. De plus, la toxicomanie du recourant est incontestablement en lien avec les infractions qui lui sont reprochées, tant s'agissant des nombreux cambriolages – onze forfaits commis entre octobre et décembre 2023 – pour se procurer les moyens d'acquérir de la drogue, que des faits de violence du 8 juin 2023, dont l'origine concerne également des stupéfiants, en l'occurrence le vol d'héroïne. À cela s'ajoutent les violences commises contre son épouse en octobre 2023, qu'il reconnaît en partie. Dans ces circonstances, au vu de la répétition des cambriolages, et de la violence déployée contre autrui, le risque que le recourant commette de nouvelles infractions du même</w:t>
      </w:r>
    </w:p>
    <w:p>
      <w:r>
        <w:t>- 8/11 - P/13211/2023 type, en particulier des actes de violence, est grand s'il devait se retrouver en liberté dans les mêmes conditions. Or, pour justifier que tel ne serait pas le cas, le recourant expose avoir diminué sa consommation de méthadone, en prison. Si cette procédure de sevrage est attestée par le SMI, le médecin a néanmoins attiré l'attention du recourant sur les risques de rechute lors de la sortie du milieu carcéral. Le cadre de la prison permet en effet un sevrage facilité, mais le contexte en cas de sortie serait tout autre, et la seule volonté manifestée par le recourant apparaît insuffisante au regard du bien juridiquement protégé – en l'occurrence la vie et l'intégrité corporelle d'autrui –, à garantir qu'il serait en mesure de se maîtriser. Le recourant propose, pour pallier ce risque, d'accepter une interdiction de consommer des stupéfiants, de se soumettre à un traitement, dans "un centre", ainsi qu'à des contrôles d'abstinence. Rien n'est toutefois, en l'état, prévu ni organisé, de sorte que s'il devait sortir, le recourant ne serait nullement pris en charge. L'entourage composé de sa mère et de son épouse, déjà présentes lors de la période pénale, n'a pas suffi à le détourner de ses addictions, de la commission de nombreux cambriolages, ni des actes de violence. On ne saurait ainsi se fonder sur ses seules promesses, et l'interdiction de périmètre autour du E______ n'est pas une garantie suffisante, rien n'empêchant le recourant de consommer de la drogue ailleurs. Partant, il y a lieu, à l'instar du TMC, de retenir que les mesures proposées sont insuffisantes et prématurées.</w:t>
      </w:r>
    </w:p>
    <w:p>
      <w:r>
        <w:rPr>
          <w:b/>
        </w:rPr>
        <w:t>E. 4</w:t>
      </w:r>
    </w:p>
    <w:p>
      <w:r>
        <w:t>Le risque de réitération étant réalisé, l'autorité de recours peut se dispenser d'examiner si un autre risque – alternatif – l'est également (arrêt du Tribunal fédéral 7B_188/2024 du 12 mars 2024 consid. 6.3.1).</w:t>
      </w:r>
    </w:p>
    <w:p>
      <w:r>
        <w:rPr>
          <w:b/>
        </w:rPr>
        <w:t>E. 5</w:t>
      </w:r>
    </w:p>
    <w:p>
      <w:r>
        <w:t>Au vu de la peine menace et concrètement encourue, si le recourant devait être reconnu coupable de tous les chefs d'infraction, le refus de mise en liberté et la prolongation ordonnée ne violent pas le principe de la proportionnalité (art. 97 al. 1 et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- 10/11 - P/13211/2023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