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ACPR/40/2025 vom 8. November 2024</w:t>
      </w:r>
    </w:p>
    <w:p>
      <w:r>
        <w:t>GE Cour de justice, 2024-11-08, FR</w:t>
      </w:r>
    </w:p>
    <w:p>
      <w:r>
        <w:rPr>
          <w:b/>
        </w:rPr>
        <w:t xml:space="preserve">Quelle: </w:t>
      </w:r>
      <w:r>
        <w:t>https://mcp.opencaselaw.ch/entscheid/ge_gerichte_ACPR_40_2025</w:t>
      </w:r>
    </w:p>
    <w:p>
      <w:r>
        <w:t>FR: GE_GERICHTE ACPR/40/2025 du 8 novembre 2024</w:t>
      </w:r>
    </w:p>
    <w:p>
      <w:r>
        <w:t>IT: GE_GERICHTE ACPR/40/2025 del 8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ne conteste pas les charges, estime ne présenter aucun risque de fuite et collusion.</w:t>
      </w:r>
    </w:p>
    <w:p>
      <w:r>
        <w:rPr>
          <w:b/>
        </w:rPr>
        <w:t>E. 2.1</w:t>
      </w:r>
    </w:p>
    <w:p>
      <w:r>
        <w:t>Selon l'art. 237 al. 1 CPP, le tribunal compétent ordonne une ou plusieurs mesures moins sévères en lieu et place de la détention provisoire ou de la détention pour des motifs de sûretés si ces mesures permettent d'atteindre le même but que la détention provisoire. Les dispositions sur la détention provisoire s'appliquent par analogie au prononcé des mesures de substitution ainsi qu'au recours contre elles (art. 237 al. 4 CPP). Ce renvoi se justifie par le fait que les mesures de substitution sont ordonnées aux mêmes conditions que la détention provisoire (ATF 141 IV 190 consid. 3.3).</w:t>
      </w:r>
    </w:p>
    <w:p>
      <w:r>
        <w:rPr>
          <w:b/>
        </w:rPr>
        <w:t>E. 2.2</w:t>
      </w:r>
    </w:p>
    <w:p>
      <w:r>
        <w:t>Selon l'art. 221 al. 1 let. a CPP, la détention provisoire ou pour des motifs de sûreté peut être ordonnée s'il y a sérieusement lieu de craindre que le prévenu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Il est sans importance que l'extradition du prévenu puisse être obtenue (ATF 123 I 31 consid. 3d; arrêt du Tribunal fédéral 1B_61/2015 du 19 mars</w:t>
      </w:r>
    </w:p>
    <w:p>
      <w:r>
        <w:t>- 6/10 - P/23187/2024 2015 consid. 3.1). Lorsque le danger de fuite est invoqué non pas comme motif de détention, mais comme condition au prononcé d'une mesure alternative moins contraignante, on peut être moins exigeant quant à la vraisemblance d'un tel danger (ATF 133 I 27 consid. 3.3).</w:t>
      </w:r>
    </w:p>
    <w:p>
      <w:r>
        <w:rPr>
          <w:b/>
        </w:rPr>
        <w:t>E. 2.3</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2.4</w:t>
      </w:r>
    </w:p>
    <w:p>
      <w:r>
        <w:t>À l'instar de la détention provisoire ou pour des motifs de sûreté, les mesures de substitution doivent en tout temps demeurer proportionnées au but poursuivi, tant par leur nature que par leur durée (ATF 140 IV 74 consid. 2.2;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w:t>
      </w:r>
    </w:p>
    <w:p>
      <w:r>
        <w:rPr>
          <w:b/>
        </w:rPr>
        <w:t>E. 2.5</w:t>
      </w:r>
    </w:p>
    <w:p>
      <w:r>
        <w:t>En l'espèce, même à suivre le recourant – ressortissant suisse – qui affirme avoir toutes ses attaches en Suisse, il a pourtant – nonobstant la décision du TPAE du 22 juillet 2024 lui interdisant de quitter ce pays avec son enfant – fui avec ce dernier en France, refusant de le ramener auprès de sa mère. Ce n'est que par suite de l'intervention de la police française, après deux semaines, que le mineur a été remis à la plaignante, détentrice de la garde exclusive. Le risque demeure dès lors concret que pour éviter de comparaitre aux audiences, il ne prenne la fuite avec ou sans l'enfant, ce d'autant qu'il soutient toujours que le Tribunal de G______ lui aurait attribué la garde</w:t>
      </w:r>
    </w:p>
    <w:p>
      <w:r>
        <w:t>- 7/10 - P/23187/2024 exclusive sur l'enfant – quand bien même ce tribunal étranger s'est déclaré incompétent par jugement du 30 juillet 2024 – et que les décisions ultérieures du KESB ne seraient pas applicables. Que les autorités suisses puissent, le cas échéant, obtenir son extradition en cas de départ à l'étranger est sans importance (cf. arrêt du Tribunal fédéral 1B_61/2015 du 19 mars 2015 consid. 3.1), la fuite étant alors réalisée, ce qu'il y a lieu d'empêcher. Les mesures ordonnées par le TMC pour pallier le risque de fuite ne sont au demeurant pas disproportionnées. En effet, le recourant ne rend pas vraisemblable ne pas pouvoir s'approvisionner en alimentation casher – et plus particulièrement des produits laitiers – dans la ville de Bâle, lieu de son domicile. Au contraire, le site internet de la Fédération suisse des communautés israélites (www.swissjews.ch/fr/viejuive/religion/ casher/acheter/: consulté le 17 décembre 2024) dresse une liste des supermarchés et boucheries cashers dans cette région. Il lui serait quoi qu'il en soit toujours loisible de se la faire livrer chez lui. Par ailleurs, le recourant peut toujours communiquer librement par téléphone ou par tout autre moyen de télécommunication moderne avec ses clients étrangers pour leur permettre de mettre en place des installations informatiques. Ceux-ci peuvent également se rendre en Suisse si des contacts personnels devaient se révéler indispensables. En tout état de cause, il s'agit d'un inconvénient dont il doit s'accomoder au regard de la gravité des faits qui lui sont reprochés et du risque de fuite qui en découle.</w:t>
      </w:r>
    </w:p>
    <w:p>
      <w:r>
        <w:rPr>
          <w:b/>
        </w:rPr>
        <w:t>E. 2.6</w:t>
      </w:r>
    </w:p>
    <w:p>
      <w:r>
        <w:t>Enfin, il existe, en l'état, un risque de collusion – justifiant l'interdiction de contact litigieuse –, dès lors que les parties n'ont pas encore été confrontées et que la mère du recourant n'a pas été entendue. Il est donc toujours à craindre, le cas échéant, qu'un contact entre le recourant et les deux coprévenues leur permettrait de s'accorder sur des déclarations à livrer aux autorités de poursuites. Qu'il ait déjà été en contact avec sa mère avant son extradition en Suisse ne permet pas de parvenir à une conclusion différente. Par ailleurs, certes, la sœur du recourant a déjà été auditionnée mais ses déclarations ne sont pas à ce point précises qu'il faudrait considérer qu'elle ne pourrait pas être amenée à donner plus de détails sur les circonstances dans lesquelles les faits reprochés sont survenus et les rôles respectifs des protagonistes. Cela étant, le Ministère public semble soutenir dans ses observations que le risque de collusion retenu disparaitra une fois que les parties auront été confrontées. Il lui appartiendra dès lors de lever la mesure à l'issue de cette audience de confrontation, laquelle a été appointée pour le 21 février 2025.</w:t>
      </w:r>
    </w:p>
    <w:p>
      <w:r>
        <w:rPr>
          <w:b/>
        </w:rPr>
        <w:t>E. 3</w:t>
      </w:r>
    </w:p>
    <w:p>
      <w:r>
        <w:t>Le recours, mal fondé, sera ainsi rejeté.</w:t>
      </w:r>
    </w:p>
    <w:p>
      <w:r>
        <w:rPr>
          <w:b/>
        </w:rPr>
        <w:t>E. 4</w:t>
      </w:r>
    </w:p>
    <w:p>
      <w:r>
        <w:t>Le recourant, qui succombe, supportera les frais envers l'État, arrêtés à CHF 800.-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t>- 8/10 - P/23187/2024</w:t>
      </w:r>
    </w:p>
    <w:p>
      <w:r>
        <w:rPr>
          <w:b/>
        </w:rPr>
        <w:t>E. 5</w:t>
      </w:r>
    </w:p>
    <w:p>
      <w:r>
        <w:t>L'indemnité du défenseur d'office sera fixée à la fin de la procédure (art. 135 al. 2 CPP). * * * * *</w:t>
      </w:r>
    </w:p>
    <w:p>
      <w:r>
        <w:t>- 9/10 - P/23187/2024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