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ACPR/409/2025 vom 15. April 2025</w:t>
      </w:r>
    </w:p>
    <w:p>
      <w:r>
        <w:t>GE Cour de justice, 2025-04-15, FR</w:t>
      </w:r>
    </w:p>
    <w:p>
      <w:r>
        <w:rPr>
          <w:b/>
        </w:rPr>
        <w:t xml:space="preserve">Quelle: </w:t>
      </w:r>
      <w:r>
        <w:t>https://mcp.opencaselaw.ch/entscheid/ge_gerichte_ACPR_409_2025</w:t>
      </w:r>
    </w:p>
    <w:p>
      <w:r>
        <w:t>FR: GE_GERICHTE ACPR/409/2025 du 15 avril 2025</w:t>
      </w:r>
    </w:p>
    <w:p>
      <w:r>
        <w:t>IT: GE_GERICHTE ACPR/409/2025 del 15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prononce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w:t>
      </w:r>
    </w:p>
    <w:p>
      <w:r>
        <w:t>- 6/10 - P/20682/2024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123 ch. 1 CP réprime, sur plainte, quiconque, intentionnellement, fait subir à une personne une autre atteinte – que grave – à l'intégrité corporelle ou à la santé. Cette disposition protège l'intégrité corporelle et la santé tant physique que psychique. Elle implique une atteinte importante aux biens juridiques ainsi protégés. Sous l'angle subjectif, cet article décrit une infraction intentionnelle, ce qui signifie que l'auteur doit adopter le comportement typique avec conscience et volonté (art. 12 al. 2 CP). Cette intention doit porter sur tous les éléments constitutifs de l'infraction, le dol éventuel – l'auteur doit avoir envisagé le résultat dommageable et s'en être accommodé – étant toutefois suffisant (ATF 119 IV 1 consid. 5a et 103 IV 65 consid. I.2).</w:t>
      </w:r>
    </w:p>
    <w:p>
      <w:r>
        <w:rPr>
          <w:b/>
        </w:rPr>
        <w:t>E. 3.3</w:t>
      </w:r>
    </w:p>
    <w:p>
      <w:r>
        <w:t>L'art. 125 CP réprime le comportement de quiconque, par négligence, fait subir à une personne une atteinte à l'intégrité corporelle ou à la santé.</w:t>
      </w:r>
    </w:p>
    <w:p>
      <w:r>
        <w:rPr>
          <w:b/>
        </w:rPr>
        <w:t>E. 3.3.1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3.3.2</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134 IV 255 consid. 4.2.3).</w:t>
      </w:r>
    </w:p>
    <w:p>
      <w:r>
        <w:t>- 7/10 - P/20682/2024</w:t>
      </w:r>
    </w:p>
    <w:p>
      <w:r>
        <w:rPr>
          <w:b/>
        </w:rPr>
        <w:t>E. 3.3.3</w:t>
      </w:r>
    </w:p>
    <w:p>
      <w:r>
        <w:t>Il faut ensuite qu'il existe un rapport de causalité entre la violation fautive du devoir de prudence et les lésions subies par la victime (arrêt du Tribunal fédéral 6B_170/2017 précité consid. 2.2).</w:t>
      </w:r>
    </w:p>
    <w:p>
      <w:r>
        <w:rPr>
          <w:b/>
        </w:rPr>
        <w:t>E. 3.4</w:t>
      </w:r>
    </w:p>
    <w:p>
      <w:r>
        <w:t>En l'espèce, le dossier ne fournit aucun indice qui permettrait de retenir que la mise en cause aurait intentionnellement cherché à porter atteinte à l'intégrité corporelle de la recourante, ou du moins accepté cette éventualité. Ni la plainte ni le recours ne comportent d'ailleurs de développements à ce propos. L'application de l'art. 123 CP est dès lors exclue. S'agissant de l'art. 125 CP, la recourante reproche à la mise en cause, dont il n'est pas contesté qu'elle dispose de connaissances médicales appropriées, de lui avoir causé des lésions à l'urètre en forçant l'insertion d'un ovule vaginal dans ce canal impropre à sa réception. Or, l'intéressée conteste les faits reprochés et aucun élément ne permet d'étayer les soupçons formulés à son encontre par la recourante. En effet, selon les éléments au dossier, des ovules vaginaux ont été prescrits à la recourante, en raison de son infection vaginale, lesquels devaient lui être insérés quotidiennement par des intervenants de C______. Dans cette circonstance, le 5 juin 2024 – soit le deuxième jour du traitement – la mise en cause y a procédé. Après avoir ressenti de vives douleurs durant la nuit et retrouvé du sang dans ses urines, la recourante a consulté un médecin, qui a constaté une lésion à l'entrée de son urètre, ce qui l'a conduit à déposer plainte contre la mise en cause. Or, contrairement à ce qu'allègue la recourante, l'origine de cette lésion n'est pas établie, en tant qu'il ressort du constat médical produit que c'était elle qui avait expliqué au praticien que l'ovule aurait été inséré dans son urètre et qu'il ne s'agit donc pas d'un constat effectué par ce même médecin. L'attestation médicale de la Dresse F______ ne permet pas non plus de connaître l'origine de la lésion constatée. Il apparaît en outre peu vraisemblable qu'une personne, a fortiori la mise en cause, forte d'une expérience de trente-sept années en qualité d'infirmière, puisse avoir confondu l'urètre et le vagin, deux conduits clairement distincts, et introduit dans le premier un ovule – de surcroît décrit comme assez gros –, ce d'autant que le soin en question, selon les propres déclarations de la concernée, constituait un geste "assez banal", qu'elle avait pratiqué à plusieurs reprises. Par ailleurs, il est relevé qu'à ce moment-là, la recourante souffrait notamment d'une infection vaginale et que la zone en question [organes génitaux féminins] était fragile et sèche. Sur ce dernier point, les parties ont toutes les deux déclaré que la mise en cause avait demandé un produit permettant de lubrifier la zone, sans néanmoins qu'il fût possible d'en trouver, et que l'infirmière avait dû s'y reprendre, à tout le moins à deux reprises, pour réussir l'insertion. À cela s'ajoute que le médicament, toujours</w:t>
      </w:r>
    </w:p>
    <w:p>
      <w:r>
        <w:t>- 8/10 - P/20682/2024 selon la mise en cause, était d'un diamètre d'un tampon hygiénique et plutôt rêche et que la recourante était crispée. Enfin, on ne peut exclure que les douleurs ressenties par la recourante, y compris durant la miction, après le soin prodigué seraient dues à l'infection vaginale dont elle souffrait et la poursuite du traitement consistant en l'insertion quotidienne d'un ovule dans la zone fragilisée. Dans ces circonstances, il n'existe pas, à ce stade, de soupçon d'une violation des règles de prudence par la mise en cause. Au vu de la teneur très succincte du certificat du Dr E______, praticien intervenu à une seule reprise auprès de la recourante, dans le cadre d'un appel auprès de médecins à domicile, on ne voit pas ce que son audition pourrait apporter comme élément complémentaire probant. Partant, c'est à juste titre que le Ministère public a rendu une décision de non-entrée en matière.</w:t>
      </w:r>
    </w:p>
    <w:p>
      <w:r>
        <w:rPr>
          <w:b/>
        </w:rPr>
        <w:t>E. 4</w:t>
      </w:r>
    </w:p>
    <w:p>
      <w:r>
        <w:t>La recourante demande à être mise au bénéfice de l'assistance judiciaire pour la procédure de recours, conformément à l'art. 136 al. 3 CPP.</w:t>
      </w:r>
    </w:p>
    <w:p>
      <w:r>
        <w:rPr>
          <w:b/>
        </w:rPr>
        <w:t>E. 4.1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 (let. b). On entend par victime le lésé qui, du fait de l'infraction, a subi une atteinte directe à son intégrité physique, psychique ou sexuelle (art. 116 al. 1 CPP).</w:t>
      </w:r>
    </w:p>
    <w:p>
      <w:r>
        <w:rPr>
          <w:b/>
        </w:rPr>
        <w:t>E. 4.2</w:t>
      </w:r>
    </w:p>
    <w:p>
      <w:r>
        <w:t>En l'occurrence, l'action pénale était d'emblée vouée à l'échec, pour les raisons exposées supra, de sorte que, même si l'indigence était réalisée, la recourante ne remplirait pas les conditions d'octroi de l'assistance judiciaire dans le cadre de son recours.</w:t>
      </w:r>
    </w:p>
    <w:p>
      <w:r>
        <w:rPr>
          <w:b/>
        </w:rPr>
        <w:t>E. 5</w:t>
      </w:r>
    </w:p>
    <w:p>
      <w:r>
        <w:t>La recourante, qui succombe, supportera les frais envers l'État, qui seront réduits pour tenir compte de sa situation financière, qui n'apparaît pas favorable, et fixés en totalité à CHF 600.- (art. 428 al. 1 CPP et 13 al. 1 du Règlement fixant le tarif des frais en matière pénale, RTFMP ; E 4 10.03).</w:t>
      </w:r>
    </w:p>
    <w:p>
      <w:r>
        <w:rPr>
          <w:b/>
        </w:rPr>
        <w:t>E. 6</w:t>
      </w:r>
    </w:p>
    <w:p>
      <w:r>
        <w:t>Le rejet de la demande d'assistance judiciaire n'entraîne pas de frais (art. 20 RAJ; arrêt du Tribunal fédéral 6B_215/2018 du 14 juin 2018 consid. 1.2). * * * * *</w:t>
      </w:r>
    </w:p>
    <w:p>
      <w:r>
        <w:t>- 9/10 - P/20682/2024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