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ACPR/409/2023 vom 17. März 2023</w:t>
      </w:r>
    </w:p>
    <w:p>
      <w:r>
        <w:t>GE Cour de justice, 2023-03-17, FR</w:t>
      </w:r>
    </w:p>
    <w:p>
      <w:r>
        <w:rPr>
          <w:b/>
        </w:rPr>
        <w:t xml:space="preserve">Quelle: </w:t>
      </w:r>
      <w:r>
        <w:t>https://mcp.opencaselaw.ch/entscheid/ge_gerichte_ACPR_409_2023</w:t>
      </w:r>
    </w:p>
    <w:p>
      <w:r>
        <w:t>FR: GE_GERICHTE ACPR/409/2023 du 17 mars 2023</w:t>
      </w:r>
    </w:p>
    <w:p>
      <w:r>
        <w:t>IT: GE_GERICHTE ACPR/409/2023 del 17 marzo 2023</w:t>
      </w:r>
    </w:p>
    <w:p>
      <w:pPr>
        <w:pStyle w:val="Heading2"/>
      </w:pPr>
      <w:r>
        <w:t>Erwägungen</w:t>
      </w:r>
    </w:p>
    <w:p>
      <w:r>
        <w:rPr>
          <w:b/>
        </w:rPr>
        <w:t>E. 1</w:t>
      </w:r>
    </w:p>
    <w:p>
      <w:r>
        <w:t>En tant qu'il a trait à l'indemnité à titre de réparation du tort moral pour détention injustifiée (art. 429 al. 1 let. c CPP), 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Il n'y a pas place pour des conclusions constatatoires là où, comme en l'espèce, des conclusions formatrices sont possibles (ATF 135 I 119 consid. 4). Il n’y a donc pas à "constater" une violation de l'art. 431 CPP.</w:t>
      </w:r>
    </w:p>
    <w:p>
      <w:r>
        <w:rPr>
          <w:b/>
        </w:rPr>
        <w:t>E. 4</w:t>
      </w:r>
    </w:p>
    <w:p>
      <w:r>
        <w:t>Le recourant reproche au Ministère public d'avoir refusé de l'indemniser pour les jours de détention subis entre son arrestation provisoire le 12 août 2021 et sa mise en liberté le 19 suivant.</w:t>
      </w:r>
    </w:p>
    <w:p>
      <w:r>
        <w:rPr>
          <w:b/>
        </w:rPr>
        <w:t>E. 4.1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w:t>
      </w:r>
    </w:p>
    <w:p>
      <w:r>
        <w:t>- 4/7 - P/23774/2021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6B_558/2013 du 13 décembre 2013 consid. 1.6 in fine). L'intéressé n'a pas le droit de choisir entre ces deux voies (arrêt 6B_84/2014 du 13 août 2014 consid. 5.1).</w:t>
      </w:r>
    </w:p>
    <w:p>
      <w:r>
        <w:rPr>
          <w:b/>
        </w:rPr>
        <w:t>E. 4.2</w:t>
      </w:r>
    </w:p>
    <w:p>
      <w:r>
        <w:t>En l'espèce, la détention avant jugement subie par le prévenu a été entièrement imputée sur la peine prononcée dans l'ordonnance pénale du 17 mars 2021; il importe peu qu'il s'agisse d'une peine pécuniaire qui plus est avec sursis. Si cette condamnation n'est pas encore définitive, puisque le recourant y a fait opposition, il appartiendra au Tribunal de police de se prononcer sur le sort de cette détention avant jugement. Le recours est ainsi rejeté.</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(arrêts du Tribunal fédéral 1B_648/2022 du 19 janvier 2023 et 1B_516/2020 du 3 novembre 2020 consid. 5.1).</w:t>
      </w:r>
    </w:p>
    <w:p>
      <w:r>
        <w:t>- 5/7 - P/23774/2021</w:t>
      </w:r>
    </w:p>
    <w:p>
      <w:r>
        <w:rPr>
          <w:b/>
        </w:rPr>
        <w:t>E. 7.2</w:t>
      </w:r>
    </w:p>
    <w:p>
      <w:r>
        <w:t>En l'occurrence, le grief lié était manifestement infondé, la loi et la jurisprudence étant clairs, et le recours n'avait, ainsi, aucune chance de succès. Il s'ensuit que les conditions d'une défense d'office devant l'autorité de recours ne sont pas réunies. Aucune indemnisation ne sera ainsi allouée à ce titre à l'avocat du recourant. * * * * *</w:t>
      </w:r>
    </w:p>
    <w:p>
      <w:r>
        <w:t>- 6/7 - P/23774/2021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