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ACPR/408/2024 vom 3. Juni 2024</w:t>
      </w:r>
    </w:p>
    <w:p>
      <w:r>
        <w:t>GE Cour de justice, 2024-06-03, FR</w:t>
      </w:r>
    </w:p>
    <w:p>
      <w:r>
        <w:rPr>
          <w:b/>
        </w:rPr>
        <w:t xml:space="preserve">Quelle: </w:t>
      </w:r>
      <w:r>
        <w:t>https://mcp.opencaselaw.ch/entscheid/ge_gerichte_ACPR_408_2024</w:t>
      </w:r>
    </w:p>
    <w:p>
      <w:r>
        <w:t>FR: GE_GERICHTE ACPR/408/2024 du 3 juin 2024</w:t>
      </w:r>
    </w:p>
    <w:p>
      <w:r>
        <w:t>IT: GE_GERICHTE ACPR/408/2024 del 3 giugno 2024</w:t>
      </w:r>
    </w:p>
    <w:p>
      <w:pPr>
        <w:pStyle w:val="Heading2"/>
      </w:pPr>
      <w:r>
        <w:t>Erwägungen</w:t>
      </w:r>
    </w:p>
    <w:p>
      <w:r>
        <w:rPr>
          <w:b/>
        </w:rPr>
        <w:t>E. 1</w:t>
      </w:r>
    </w:p>
    <w:p>
      <w:r>
        <w:t>Partie à la procédure P/1______/2023 en tant que plaignant et prévenu (art. 104 al. 1 let. a et b CPP), le requérant a qualité pour agir (art. 58 al. 1 CPP), et la Chambre de céans, siégeant dans la composition de trois juges (art. 127 LOJ), est compétente pour connaître de sa requête, dirigée contre un membre du ministère public (art. 59 al. 1 let. b CPP et 128 al. 2 let. a LOJ).</w:t>
      </w:r>
    </w:p>
    <w:p>
      <w:r>
        <w:rPr>
          <w:b/>
        </w:rPr>
        <w:t>E. 2.1</w:t>
      </w:r>
    </w:p>
    <w:p>
      <w:r>
        <w:t>Conformément à l'art. 58 al. 1 CPP, la récusation doit être demandée sans délai, dès que la partie a connaissance du motif de récusation, c'est-à-dire dans les jours qui suivent la connaissance de la cause de récusation, sous peine de déchéance (ATF 140 I 271 consid. 8.4.3 p. 275 et les arrêts cités).</w:t>
      </w:r>
    </w:p>
    <w:p>
      <w:r>
        <w:rPr>
          <w:b/>
        </w:rPr>
        <w:t>E. 2.2</w:t>
      </w:r>
    </w:p>
    <w:p>
      <w:r>
        <w:t>En l'occurrence, en tant que la prévention de la citée serait matérialisée par le procès-verbal d'audition du 9 avril 2024, d'une part, et sa prise de position du 13 mai 2024 sur la requête, d'autre part, la demande de récusation formulée à l'audience, respectivement dans la réplique du 21 mai 2024, n'est pas tardive.</w:t>
      </w:r>
    </w:p>
    <w:p>
      <w:r>
        <w:rPr>
          <w:b/>
        </w:rPr>
        <w:t>E. 3.1</w:t>
      </w:r>
    </w:p>
    <w:p>
      <w:r>
        <w:t>À teneur de l'art. 56 let. f CPP, toute personne exerçant une fonction au sein d'une autorité pénale est tenue de se récuser lorsque d'autres motifs, notamment un rapport d'amitié étroit ou d'inimitié avec une partie ou son conseil juridique, sont de nature à la rendre suspecte de prévention. La procédure de récusation a pour but d'écarter un magistrat partial, respectivement d'apparence partiale afin d'assurer un procès équitable à chaque partie (ATF 126 I 68 consid. 3a p. 73; arrêt du Tribunal fédéral 1B_430/2021 du 22 octobre 2021 consid. 2.3.2). Elle vise notamment à éviter que des circonstances extérieures à la cause ne puissent influencer le jugement en faveur ou au détriment d'une partie.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w:t>
      </w:r>
    </w:p>
    <w:p>
      <w:r>
        <w:t>- 7/10 - PS/29/2024 procès ne sont pas décisives (ATF 144 I 159 consid. 4.3 p. 162; 143 IV 69 consid. 3.2 p. 74; arrêt 1B_25/2022 du 18 mai 2022 consid. 2.2). L'impartialité subjective d'un magistrat se présume jusqu'à preuve du contraire (ATF 136 III 605 consid. 3.2.1 p. 608; arrêt du Tribunal fédéral 6B_621/2011 du 19 décembre 2011). Durant la phase de l'enquête préliminaire, ainsi que de l'instruction et jusqu'à la mise en accusation, le ministère public est l'autorité investie de la direction de la procédure (art. 61 let. a CPP). À ce titre, il doit veiller au bon déroulement et à la légalité de la procédure (art. 62 al. 1 CPP). Durant l'instruction il doit établir, d'office et avec un soin égal, les faits à charge et à décharge (art. 6 CPP); il doit statuer sur les réquisitions de preuve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consid. 3.2.2; 138 IV 142 consid. 2.2.1). La procédure de récusation n'a donc pas pour objet de permettre aux parties de contester la manière dont est menée l'instruction (ATF 143 IV 69 consid. 3.2 ; arrêts du Tribunal fédéral 1B_305/2019 et 1B_330/2019 du 26 novembre 2019 consid. 3.4.1), étant rappelé qu'il appartient aux juridictions de recours normalement compétentes de constater et de redresser les erreurs éventuellement commises dans ce cadre.</w:t>
      </w:r>
    </w:p>
    <w:p>
      <w:r>
        <w:rPr>
          <w:b/>
        </w:rPr>
        <w:t>E. 3.2</w:t>
      </w:r>
    </w:p>
    <w:p>
      <w:r>
        <w:t>Le requérant reproche à B______ une attitude partiale à son égard lors de l'audience du 9 avril 2024. Tout d'abord, il ne ressort du procès-verbal aucune protestation du requérant ou de son conseil relative au ton employé par la magistrate pour formuler ses questions ou à son attitude à l'égard d'une autre partie, étant relevé que la citée conteste les griefs relatifs au "ton cassant" ou aux questions visant à "décrédibiliser" les déclarations du requérant. Elle conteste également avoir "souri" ou usé d'un "ton cordial" avec E______. Il ne ressort pas non plus dudit procès-verbal que le requérant ou son conseil n'auraient pas pu poser leurs questions, étant précisé qu'à l'issue de l'incident lors duquel la requête en récusation a été protocolée, l'avocat a pu poser ses questions à C______ et E______. Que la citée l'ait préalablement recadré sur les questions à poser et exclu celles non pertinentes – car fondées sur des "ouï-dires" s'agissant des</w:t>
      </w:r>
    </w:p>
    <w:p>
      <w:r>
        <w:t>- 8/10 - PS/29/2024 faits survenus au Kosovo – ne saurait trahir une prévention de sa part, en tant qu'il appartient précisément au magistrat instructeur de cadrer les débats, d'une part, et de veiller au respect de l'égalité des armes entre parties, d'autre part, étant relevé que tant E______ que C______ ont comparu sans avocat, contrairement au requérant. On ne voit pas non plus en quoi le fait que la citée interroge le requérant sur sa détention d'armes à feu serait une marque de prévention, vu le contexte. Qu'elle ne remette pas en question, selon lui, les déclarations de C______, qu'il juge contraires aux faits allégués dans sa plainte, ne l'est pas davantage. On peine ensuite à distinguer en quoi la rédaction de la mise en prévention de C______ et E______ pour menaces serait "tendancieuse", le requérant ne l'explicitant pas, se limitant à exprimer son propre ressenti, lequel, comme le rappelle la jurisprudence susmentionnée, n'est aucunement décisif pour établir un soupçon de partialité. La mise en prévention du requérant pour dénonciation calomnieuse étant intervenue après l'interrogatoire des prévenus par le Ministère public et la déclaration de C______ selon laquelle la plainte de A______ serait calomnieuse, on ne saurait reprocher à la citée de l'avoir préméditée avant l'audience. Que le requérant estime "inutile" dite mise en prévention n'est en outre pas déterminant. S'agissant de la consultation du dossier, force est de constater que la citée n'a rendu aucune décision formelle à cet égard à l'endroit du requérant, étant précisé qu'en l'état aucune partie n'a accès à la procédure. Il appartient, le cas échéant, à l'intéressé d'agir par la voie du recours, la procédure de récusation n'ayant pas pour but de permettre aux parties de contester la manière dont l'instruction est menée. Le requérant reproche enfin à la citée de refuser d'instruire les faits s'étant déroulés au Kosovo. Certes, dans ses observations, la citée estime ne pas être compétente pour ce faire, une procédure pénale ayant été ouverte dans ce pays. Cependant, là également, on ne voit pas en quoi cette prise de position dénoterait un soupçon de partialité de sa part. Aucune décision formelle n'a été rendue à cet égard. L'instruction n'est du reste pas terminée. Or, comme déjà dit, la voie de la récusation n'est pas celle pour contester la manière dont est menée l'instruction.</w:t>
      </w:r>
    </w:p>
    <w:p>
      <w:r>
        <w:rPr>
          <w:b/>
        </w:rPr>
        <w:t>E. 4</w:t>
      </w:r>
    </w:p>
    <w:p>
      <w:r>
        <w:t>Au vu de ce qui précède, la requête, infondée, sera rejetée.</w:t>
      </w:r>
    </w:p>
    <w:p>
      <w:r>
        <w:rPr>
          <w:b/>
        </w:rPr>
        <w:t>E. 5</w:t>
      </w:r>
    </w:p>
    <w:p>
      <w:r>
        <w:t>Le requérant, qui succombe, supportera les frais de la procédure, fixés en totalité à CHF 1'000.- (art. 59 al. 4 CPP). * * * * *</w:t>
      </w:r>
    </w:p>
    <w:p>
      <w:r>
        <w:t>- 9/10 - PS/29/2024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