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ACPR/408/2023 vom 17. Oktober 2022</w:t>
      </w:r>
    </w:p>
    <w:p>
      <w:r>
        <w:t>GE Cour de justice, 2022-10-17, FR</w:t>
      </w:r>
    </w:p>
    <w:p>
      <w:r>
        <w:rPr>
          <w:b/>
        </w:rPr>
        <w:t xml:space="preserve">Quelle: </w:t>
      </w:r>
      <w:r>
        <w:t>https://mcp.opencaselaw.ch/entscheid/ge_gerichte_ACPR_408_2023</w:t>
      </w:r>
    </w:p>
    <w:p>
      <w:r>
        <w:t>FR: GE_GERICHTE ACPR/408/2023 du 17 octobre 2022</w:t>
      </w:r>
    </w:p>
    <w:p>
      <w:r>
        <w:t>IT: GE_GERICHTE ACPR/408/2023 del 17 ottobre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1.2</w:t>
      </w:r>
    </w:p>
    <w:p>
      <w:r>
        <w:t>La pièce nouvelle est également recevable (arrêt du Tribunal fédéral 1B_550/2022 du 17 novembre 2022 consid. 2.1).</w:t>
      </w:r>
    </w:p>
    <w:p>
      <w:r>
        <w:rPr>
          <w:b/>
        </w:rPr>
        <w:t>E. 2</w:t>
      </w:r>
    </w:p>
    <w:p>
      <w:r>
        <w:t>Les recourants reprochent au Ministère public d'avoir constaté les faits de manière incomplète et/ou erronée. Les passages litigieux ne concernent toutefois pas l'établissement des faits, le Ministère public s'y livrant à une appréciation des éléments de preuve et de la situation juridique. Quoi qu'il en soit, dès lors que la Chambre de céans jouit d'un plein pouvoir de cognition en droit et en fait (art. 391 al. 2 CPP) (ATF 137 I 195 consid. 2.3.2 p. 197; arrêt du Tribunal fédéral 1B_524/2012 du 15 novembre 2012 consid. 2.1), les éventuelles constatations incomplètes ou inexactes auront été corrigées dans l'état de fait établi ci-devant. Partant, ce grief sera rejeté.</w:t>
      </w:r>
    </w:p>
    <w:p>
      <w:r>
        <w:rPr>
          <w:b/>
        </w:rPr>
        <w:t>E. 3</w:t>
      </w:r>
    </w:p>
    <w:p>
      <w:r>
        <w:t>Les recourants estiment qu'il existe contre l'intimé une prévention suffisante d'abus de confiance ou d'escroquerie.</w:t>
      </w:r>
    </w:p>
    <w:p>
      <w:r>
        <w:rPr>
          <w:b/>
        </w:rPr>
        <w:t>E. 3.1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"in dubio pro duriore".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w:t>
      </w:r>
    </w:p>
    <w:p>
      <w:r>
        <w:t>- 13/20 - P/19306/2020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3.2.1. Commet un abus de confiance au sens de l'art. 138 ch. 1 al. 2 CP, celui qui, sans droit, aura employé à son profit ou au profit d'un tiers, des valeurs patrimoniales qui lui avaient été confiées.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p. 300 ; 133 IV 21 consid. 6.2 p. 27). Le comportement délictueux consiste à utiliser la valeur patrimoniale contrairement aux instructions reçues, en s'écartant de la destination fixée (ATF 129 IV 257 consid. 2.2.1 p. 259 et les références citées). 3.2.2. Pour savoir si l’on est en présence de valeurs patrimoniales confiées, il faut analyser l’accord qui lie les parties selon les règles de la bonne foi et conformément aux us et coutumes du domaine concerné (A. MACALUSO / L. MOREILLON / N. QUELOZ (éds), Commentaire romand, Code pénal II, Partie spéciale: art. 111-392 CP, Bâle 2017, n. 38 ad art. 138 CP).</w:t>
      </w:r>
    </w:p>
    <w:p>
      <w:r>
        <w:rPr>
          <w:b/>
        </w:rPr>
        <w:t>E. 3.3</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w:t>
      </w:r>
    </w:p>
    <w:p>
      <w:r>
        <w:t>- 14/20 - P/19306/2020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et les références citées). 3.4.1. En l'espèce, il est établi et non contesté que les recourants ont versé, de leur plein gré, des sommes d'argent – totalisant près de EUR 1'200'000.- – à l'intimé et/ou à la société D______ SÀRL entre les mois de février 2019 et janvier 2020. Les déclarations des parties ne concordent toutefois pas en ce qui concerne la destination convenue des fonds en question. En effet, les recourants ont allégué dans leur plainte avoir versé EUR 1'045'517.89 sur le compte de D______ SÀRL dans l'unique but d'entrer au capital social de cette société. Leurs déclarations ont néanmoins fluctué en cours d'instruction. Devant le Ministère public, A______ est en effet revenue sur ses allégations, expliquant avoir en réalité versé EUR 800'000.- au total sur le compte de D______ SÀRL dans le but de fonder une nouvelle société dénommée O______. L'intimé, quant à lui, le conteste, affirmant que les fonds litigieux étaient uniquement destinés à la réalisation d'importants travaux de rénovation du logement des recourants, dont le coût total s'était chiffré à EUR 1'200'000.-. On pourrait tout d'abord se demander si des fonds libérés et apportés à une société dans le cadre d'une augmentation de capital constituent des valeurs patrimoniales confiées au sens de l'art. 138 CP (cf. ACPR/39/2014 du 17 janvier 2014 consid. 3.3, niant une telle qualification). Cette question peut toutefois demeurer indécise, dans la mesure où les allégations des recourants ne trouvent pas d'assise suffisante dans le dossier. En effet, aucun contrat n'a été signé et le dossier ne comporte aucune pièce permettant de retenir une volonté claire et univoque des parties de faire entrer les recourants dans le capital social de D______ SÀRL ou d'une quelconque autre société. Rien ne permet non plus de retenir que les fonds versés par les recourants devaient être expressément affectés à cette fin.</w:t>
      </w:r>
    </w:p>
    <w:p>
      <w:r>
        <w:t>- 15/20 - P/19306/2020 Cette thèse semble au contraire contredite par les pièces versées au dossier, en particulier par la documentation bancaire. En effet, si certains paiements effectués par A______ ne portent aucun libellé, la majeure partie des versements opérés en faveur de D______ SÀRL ou de l'intimé mentionne comme motif de paiement les travaux de rénovation de la villa des recourants. Les explications de ces derniers, selon lesquelles les travaux auraient été mentionnés comme cause de paiement sur demande de l'intimé ne sont pas convaincantes. En effet, on ne voit pas pour quel motif ils auraient accepté de ne pas indiquer le but réel des versements opérés, ce d'autant plus au vu de l'importance des montants concernés. Ils ne le précisent d'ailleurs pas, se limitant à exposer avoir "fait confiance" à l'intimé. De plus, alors qu'ils ont allégué dans leur plainte avoir payé EUR 427'050.- pour la rénovation de leur villa, ils ont finalement déclaré que le coût total des travaux s'était chiffré à EUR 139'000.-. Or, ces allégations entrent en contradiction avec les diverses factures versées au dossier. Les recourants ont d'ailleurs eux-mêmes produit deux factures datées du 12 avril 2020, relatives aux travaux – revêtues de leur signature, avec la mention "bon pour accord" –, totalisant EUR 1'221'867.27. Leurs explications, selon lesquelles ces documents – qu'ils n'auraient pas lu – auraient été signés sur demande de l'intimé ne sont nullement étayées et apparaissent douteuses. Au surplus, leur argument, selon lequel la valeur vénale de leur maison a été évaluée, avant travaux, à EUR 477'000.-, n'apparaît pas pertinent. En effet, il n'est pas insolite que, compte tenu de l'état d'une propriété – datant de 1939 – au moment de son estimation, et de l'ampleur des travaux envisagés, le prix de ceux-ci soit supérieur à la valeur vénale du bien-fond. À cela s'ajoute que les recourants ont eux-mêmes déclaré devant le Ministère public avoir procédé à une rénovation complète de leur villa – y compris de son système électrique – et "s'être fait plaisir" dans ce cadre-là. B______ a en outre précisé que les travaux avaient été réalisés "pièce après pièce" et que les factures y afférentes leur avaient été adressées "au fur et à mesure", ce qui explique le nombre de virements opérés par A______ en faveur de l'intimé et/ou de sa société. Ainsi, aucun élément au dossier ne permet d'établir que les versements litigieux auraient dû être affectés à d'autres fins que celles de financer les travaux de rénovation. Rien ne permet non plus de retenir que les fonds payés à l'intimé auraient été utilisés contrairement à la destination convenue, puisque les recourants ne soutiennent pas que les travaux n'auraient pas été exécutés par l'intéressé. Les deux quittances datées des 15 et 19 janvier 2020, de respectivement EUR 2'000.- et EUR 5'000.-, portant les indications "Appt Capital" et "pour Capital Appt Société", ne permettent pas de parvenir à une autre conclusion. Malgré le fait que les explications données à leur propos par l'intimé suscitent des interrogations, la nature</w:t>
      </w:r>
    </w:p>
    <w:p>
      <w:r>
        <w:t>- 16/20 - P/19306/2020 et la destination des valeurs concernées demeurent, quoi qu'il en soit, incertaines. En effet, ces documents, sur lesquels ne figure pas le nom de la société D______ SÀRL – ou celui d'une quelconque autre entité –, ne comportent aucune instruction précise, de sorte que l'affectation des fonds n'est pas clairement définie. Il en va de même des messages échangés entre les parties aux mois de juin et août 2020, puisque ni les sommes versées par les recourants à l'intimé ni leur montant ni le nom de la société D______ SÀRL n'y sont expressément mentionnés. Ainsi, à défaut d'indices objectifs, il n'est pas possible d'établir une prévention pénale suffisante d'abus de confiance à l'encontre de l'intimé, de sorte qu'un acquittement apparaît plus probable qu'une condamnation. Exempte de critique, la décision entreprise sera donc confirmée sur ce point. 3.4.2. Enfin, les recourants ne développent aucun argument de nature à démontrer qu'ils auraient été victimes d'une escroquerie de la part de l'intimé. En tout état, les éléments constitutifs de cette infraction n'apparaissent pas réalisés. En effet, même à supposer que l'intimé eût trompé les recourants sur l'usage auquel étaient destinées les sommes d'argent versées – ce qui, au vu des considérations précédentes, n'est pas démontré –, la condition de l'astuce ferait manifestement défaut. En effet, on ne distingue pas de quelle manœuvre frauduleuse, édifice de mensonges ou mise en scène subtile les recourants auraient fait l'objet. Ils n'en invoquent d'ailleurs pas, puisqu'ils exposent avoir versé des sommes conséquentes à l'intimé, sans avoir signé un quelconque contrat ni s'être enquis de la situation économique – obérée – de la société, dans laquelle ils auraient prétendument investi. Par ailleurs, ils se sont acquittés de toutes les factures – relatives aux travaux de rénovation – qui leur ont été adressées, sans jamais les contester. À cela s'ajoute qu'ils ne démontrent pas qu'un lien de confiance particulièrement fort les unissait à l'intimé au point de les dispenser de toutes vérifications préalables. L'existence d'une relation de nature presque familiale entre les parties n'est pas établie, étant précisé que l'intimé le conteste. Pour le surplus, s'il ressort des certificats médicaux établis les 17 janvier et 13 juin 2022 – soit à des périodes postérieures aux faits dénoncés – que les recourants souffrent d'un état d'anxiété, ces derniers ne soutiennent pas que leur état de santé les aurait empêchés de faire preuve du minimum d'attention et de prudence que l'on pouvait raisonnablement exiger d'eux, ni que l'intimé aurait abusé de leur éventuel état de faiblesse. Enfin, ils ne disposent pas d'un intérêt juridique propre pour se plaindre d'une éventuelle infraction à la LTVA (cf. art. 98 let. g LTVA). Celle-ci protège en effet l'intérêt collectif, si bien que les intérêts privés des recourants ne sont pas susceptibles d'être touchés. En tout état de cause, le fait pour l'intimé d'avoir facturé cette taxe, alors que celle-ci n'aurait pas été due, ne saurait constituer un édifice de</w:t>
      </w:r>
    </w:p>
    <w:p>
      <w:r>
        <w:t>- 17/20 - P/19306/2020 mensonges, ni même de fausses informations suffisamment astucieuses pour tromper les recourants. En effet, il leur aurait été loisible de vérifier les différents postes des factures réceptionnées et, le cas échéant, d'en contester les montants, ce qu'ils n'ont pas fait. En l'absence de dupe, c'est donc à juste titre que le Ministère public a retenu qu'il n'y avait pas de prévention pénale suffisante de la commission d'une escroquerie. L'ordonnance querellée ne prête dès lors pas le flanc à la critique, sur ce point non plus. 3.4.3. Aucun acte d'instruction ne serait de nature à modifier les conclusions qui précèdent. Comme retenu par le Ministère public, les auditions de Q______, S______ et U______ permettraient uniquement d'établir le coût des travaux exécutés par ceux-ci. L'audition de E______, de même que celles de W______, X______ et Y______ ne semblent pas non plus susceptibles d'apporter des éléments probants au dossier, puisqu'ils n'ont pas été témoins directs des faits dénoncés. De plus, ces trois dernières personnes reprochent à l'intimé d'avoir encaissé des fonds destinés à des travaux de rénovation qui n'auraient pas été exécutés par l'intéressé, de sorte que les faits ne sont pas similaires aux griefs élevés par les recourants à son égard. Enfin, on ne voit pas ce que l'audition de F______ pourrait amener comme élément complémentaire probant. En effet, comme l'a relevé le Ministère public, les versements litigieux sont antérieurs au rendez-vous du 17 août 2020 auquel la prénommée aurait participé. Pour le surplus, si les recourants allèguent que l'intimé leur aurait demandé, à cette occasion, EUR 600'000.- pour recapitaliser la société D______ SÀRL et EUR 50'000.- pour créer une menuiserie, ils ne soutiennent pas avoir donné suite à ces demandes. En tout état, aucune de ces auditions ne permettrait de conclure qu'ils auraient confié des valeurs patrimoniales à l'intimé, qui auraient dû être affectées au capital social de D______ SÀRL ou à la création d'une société. C'est donc, également, à juste titre, que le Ministère public a rejeté les réquisitions de preuve sollicitées par les recourants.</w:t>
      </w:r>
    </w:p>
    <w:p>
      <w:r>
        <w:rPr>
          <w:b/>
        </w:rPr>
        <w:t>E. 4</w:t>
      </w:r>
    </w:p>
    <w:p>
      <w:r>
        <w:t>Justifiée, l'ordonnance querellée sera donc confirmée.</w:t>
      </w:r>
    </w:p>
    <w:p>
      <w:r>
        <w:rPr>
          <w:b/>
        </w:rPr>
        <w:t>E. 5</w:t>
      </w:r>
    </w:p>
    <w:p>
      <w:r>
        <w:t>Les recourants, qui succombent, supporteront conjointement et solidairement les frais envers l'État, qui seront fixés en totalité à CHF 1'500.- (art. 428 al. 1 CPP et 13 al. 1 du Règlement fixant le tarif des frais en matière pénale, RTFMP ; E 4 10.03).</w:t>
      </w:r>
    </w:p>
    <w:p>
      <w:r>
        <w:rPr>
          <w:b/>
        </w:rPr>
        <w:t>E. 6</w:t>
      </w:r>
    </w:p>
    <w:p>
      <w:r>
        <w:t>L'intimé, qui obtient gain de cause, conclut à ce que les recourants soient condamnés au paiement de ses dépens pour la procédure de recours.</w:t>
      </w:r>
    </w:p>
    <w:p>
      <w:r>
        <w:t>- 18/20 - P/19306/2020</w:t>
      </w:r>
    </w:p>
    <w:p>
      <w:r>
        <w:rPr>
          <w:b/>
        </w:rPr>
        <w:t>E. 6.1</w:t>
      </w:r>
    </w:p>
    <w:p>
      <w:r>
        <w:t>En vertu de l'art. 436 al. 1 CPP, les prétentions en indemnité dans les procédures de recours sont régies par les art. 429 à 434 CPP.</w:t>
      </w:r>
    </w:p>
    <w:p>
      <w:r>
        <w:rPr>
          <w:b/>
        </w:rPr>
        <w:t>E. 6.2</w:t>
      </w:r>
    </w:p>
    <w:p>
      <w:r>
        <w:t>L'art. 429 al. 1 let. a CPP prévoit que si le prévenu est acquitté totalement ou en partie ou s'il bénéficie d'une ordonnance de classement, il a droit à une indemnité pour les dépenses occasionnées par l'exercice raisonnable de ses droits de procédure. Dans tous les cas, l'indemnité n'est due qu'à concurrence des dépenses occasionnées par l'exercice raisonnable des droits de procédure du prévenu (Message relatif à l'unification du droit de la procédure pénale du 21 décembre 2005, FF 2006 1303, p. 1313).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(ACPR/140/2013 du 12 avril 2013).</w:t>
      </w:r>
    </w:p>
    <w:p>
      <w:r>
        <w:rPr>
          <w:b/>
        </w:rPr>
        <w:t>E. 6.3</w:t>
      </w:r>
    </w:p>
    <w:p>
      <w:r>
        <w:t>Enfin, l'indemnité de l'art. 429 al. 1 let. a CPP est en principe à la charge de l'État. La jurisprudence a certes admis que les frais de défense du prévenu pouvaient, dans certaines configurations, être mis à la charge de la partie plaignante. Cette jurisprudence doit toutefois être interprétée restrictivement ; elle ne s'applique pas au cas du recours interjeté par la partie plaignante à l'encontre d'une décision de classement ou de non-entrée en matière (arrêts du Tribunal fédéral 6B_1267/2019 du 13 mars 2020 consid. 2.2.1 ; 6B_105/2018 du 22 août 2018 consid. 4).</w:t>
      </w:r>
    </w:p>
    <w:p>
      <w:r>
        <w:rPr>
          <w:b/>
        </w:rPr>
        <w:t>E. 6.4</w:t>
      </w:r>
    </w:p>
    <w:p>
      <w:r>
        <w:t>En l'espèce, l'intimé conclut à l'allocation d'une indemnité de CHF 2'200.-, correspondant à cinq heures d'activité au tarif horaire de CHF 350.- et une heure d'activité au taux de CHF 450.-. Compte tenu de l'ampleur de son écriture (8 pages d'observations, dont 4,5 pages de discussion juridique), l'indemnité réclamée paraît excessive. Elle sera ramenée à CHF 1'150.-, correspondant à trois heures d'activité [deux heures au tarif horaire de CHF 350.- et une heure au taux de CHF 450.-]. La TVA n'est pas due, l'intimé étant domicilié à l'étranger (ATF 141 IV 344 consid. 4.1 p. 346). Cette indemnité sera mise à la charge de l'État, conformément à la jurisprudence précitée. * * * * *</w:t>
      </w:r>
    </w:p>
    <w:p>
      <w:r>
        <w:t>- 19/20 - P/19306/2020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