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ACPR/407/2025 vom 10. Mai 2025</w:t>
      </w:r>
    </w:p>
    <w:p>
      <w:r>
        <w:t>GE Cour de justice, 2025-05-10, FR</w:t>
      </w:r>
    </w:p>
    <w:p>
      <w:r>
        <w:rPr>
          <w:b/>
        </w:rPr>
        <w:t xml:space="preserve">Quelle: </w:t>
      </w:r>
      <w:r>
        <w:t>https://mcp.opencaselaw.ch/entscheid/ge_gerichte_ACPR_407_2025</w:t>
      </w:r>
    </w:p>
    <w:p>
      <w:r>
        <w:t>FR: GE_GERICHTE ACPR/407/2025 du 10 mai 2025</w:t>
      </w:r>
    </w:p>
    <w:p>
      <w:r>
        <w:t>IT: GE_GERICHTE ACPR/407/2025 del 10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t>- 5/8 - P/10501/2025</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déjà été condamné à une reprise, le 1er février 2023, pour un délit contre la loi fédérale sur les stupéfiants. Il a par ailleurs été renvoyé par devant le Tribunal de police, dans le cadre de la procédure P/3______/2024, notamment pour infraction à l'art. 19 al. 1 let. c LStup et diverses infractions à la législation fédérale sur les étrangers. Il est en outre fortement soupçonné, dans la présente procédure, d'avoir vendu de la cocaïne, à deux reprises, à B______, faits pour lesquels ce dernier l'a expressément mis en cause. Ces éléments, auxquels s'ajoute le contexte personnel du recourant,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À titre superfétatoire, le recourant ne saurait tirer argument du fait que son profil d'ADN a d'ores et déjà été établi, à ses frais. Dès lors que les profils d'ADN sont soumis à effacement après un certain délai (cf. art. 16 de la Loi sur les profils d'ADN; RS 363), il existe un intérêt, quand bien même l'établissement de son profil d'ADN aurait déjà</w:t>
      </w:r>
    </w:p>
    <w:p>
      <w:r>
        <w:t>- 6/8 - P/10501/2025 été ordonné à une reprise et son effacement n'interviendrait pas avant de nombreuses années, à le soumettre derechef à cette mesure, pour autant bien évidemment que les conditions soient à nouveau réalisées, ce qui est le cas en l'espèce. Cet intérêt public prime celui invoqué par le recourant à ce que son profil d'ADN ne soit pas conservé quelques mois supplémentaires à l'échéance du premier délai de conservation. Le fait pour le Ministère public d'avoir, dans de telles circonstances, ordonné une seconde fois l'établissement du profil d'ADN du recourant n'apparait ainsi nullement disproportionné.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- 7/8 - P/10501/2025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