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ACPR/407/2024 vom 30. April 2024</w:t>
      </w:r>
    </w:p>
    <w:p>
      <w:r>
        <w:t>GE Cour de justice, 2024-04-30, FR</w:t>
      </w:r>
    </w:p>
    <w:p>
      <w:r>
        <w:rPr>
          <w:b/>
        </w:rPr>
        <w:t xml:space="preserve">Quelle: </w:t>
      </w:r>
      <w:r>
        <w:t>https://mcp.opencaselaw.ch/entscheid/ge_gerichte_ACPR_407_2024</w:t>
      </w:r>
    </w:p>
    <w:p>
      <w:r>
        <w:t>FR: GE_GERICHTE ACPR/407/2024 du 30 avril 2024</w:t>
      </w:r>
    </w:p>
    <w:p>
      <w:r>
        <w:t>IT: GE_GERICHTE ACPR/407/2024 del 30 aprile 2024</w:t>
      </w:r>
    </w:p>
    <w:p>
      <w:pPr>
        <w:pStyle w:val="Heading2"/>
      </w:pPr>
      <w:r>
        <w:t>Erwägungen</w:t>
      </w:r>
    </w:p>
    <w:p>
      <w:r>
        <w:rPr>
          <w:b/>
        </w:rPr>
        <w:t>E. 6</w:t>
      </w:r>
    </w:p>
    <w:p>
      <w:r>
        <w:t>février 2024 consid. 4.2.);  en l'espèce, la recourante reprend en détail, dans son recours, les déclarations des différents mendiants et des prévenus, lesquelles confirmeraient, selon elle, ses propres déclarations et montreraient que les charges ne seraient plus adaptées à la "réalité du dossier";</w:t>
      </w:r>
    </w:p>
    <w:p>
      <w:r>
        <w:t>- 7/10 - P/16205/2021  force est ainsi de constater qu'elle persiste à soulever les mêmes arguments que ceux de ses précédents recours et à remettre en cause les soupçons du Ministère public, y compris en lien avec le rôle de co-auteure qui lui est désormais précisément reproché;  aucun élément de fait nouveau pertinent y relatif n'est survenu depuis lors, ce qui n'est au demeurant pas contesté;  il peut ainsi être renvoyé, comme l'a fait le TMC dans sa décision attaquée, aux précédentes motivations [notamment dans les arrêts récents du Tribunal fédéral du 11 janvier 2024 et de la Chambre de céans du 7 mars 2024], s'agissant des charges, des risques de fuite, de collusion et l'absence de mesures de substitution efficaces, ce que la jurisprudence autorise en pareil cas, sans violer le droit d’être entendu de la prévenue (art. 82 al. 4 CPP ; ATF 123 I 31 consid. 2c ; arrêts du Tribunal fédéral 7B_577/2023 du 31 octobre 2023 consid. 5.2.2. et 1B_378/2019 du 19 août 2019 consid. 2);  par ailleurs, le simple écoulement du temps à cet égard ne rend pas disproportionnée la durée de la détention provisoire subie à ce jour et ne laisse pas augurer que sa prolongation jusqu’à l’échéance fixée par le TMC dépassera (art. 212 al. 3 CPP) le quantum de la peine à laquelle la recourante serait concrètement exposée, si elle était reconnue coupable de toutes les préventions retenues contre elle, soit la traite d'êtres humains par métier et le blanchiment d'argent, sous la forme de la coactivité – cette dernière qualification juridique n'apparaissant au demeurant pas d'emblée inapplicable –. La récente condamnation de la belle-sœur de la recourante en qualité de complice ne saurait être déterminante à cet égard, les deux procédures n'ayant pas été jointes dès lors qu'elles concernaient des charges clairement distinctes. En outre,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  le recours s'avère ainsi infondé et doit être rejeté;  la recourante, qui succombe, supportera les frais envers l'État, fixés en totalité à CHF 900.- (art. 428 al. 1 CPP et 13 al. 1 du Règlement fixant le tarif des frais en matière pénale, RTFMP ; E 4 10.03), étant rappelé que l'autorité de recours est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  la recourante plaide au bénéfice d'une défense d'office;</w:t>
      </w:r>
    </w:p>
    <w:p>
      <w:r>
        <w:t>- 8/10 - P/16205/2021 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  en l'occurrence, la recourante s'est limitée ici à reprendre les mêmes arguments qu'elle avait déjà soulevés dans ses précédents recours et qui ont été écartés dans les arrêts précités. Son recours était manifestement dénué de chances de succès et aucune indemnité pour cet acte ne sera dès lors allouée au défenseur d'office. * * * * *</w:t>
      </w:r>
    </w:p>
    <w:p>
      <w:r>
        <w:t>- 9/10 - P/16205/2021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