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ACPR/406/2019 vom 24. September 2018</w:t>
      </w:r>
    </w:p>
    <w:p>
      <w:r>
        <w:t>GE Cour de justice, 2018-09-24, FR</w:t>
      </w:r>
    </w:p>
    <w:p>
      <w:r>
        <w:rPr>
          <w:b/>
        </w:rPr>
        <w:t xml:space="preserve">Quelle: </w:t>
      </w:r>
      <w:r>
        <w:t>https://mcp.opencaselaw.ch/entscheid/ge_gerichte_ACPR_406_2019</w:t>
      </w:r>
    </w:p>
    <w:p>
      <w:r>
        <w:t>FR: GE_GERICHTE ACPR/406/2019 du 24 septembre 2018</w:t>
      </w:r>
    </w:p>
    <w:p>
      <w:r>
        <w:t>IT: GE_GERICHTE ACPR/406/2019 del 24 settembre 2018</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90 al. 2,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qu'il existe une prévention suffisante de faux dans les titres et de gestion déloyale à l'encontre du recourant.</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w:t>
      </w:r>
    </w:p>
    <w:p>
      <w:r>
        <w:t>- 8/13 - P/481/2013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 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2.2</w:t>
      </w:r>
    </w:p>
    <w:p>
      <w:r>
        <w:t>Se rend coupable de gestion déloyale au sens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En règle générale, une qualité de gérant est reconnue aux organes ou membres d'organes de sociétés commerciales, ainsi qu'aux associés gérants dans la société en nom collectif (ATF 80 IV 243, JdT 1955 IV 77). Pour qu'il y ait gestion déloyale, il ne suffit pas que l'auteur ait été gérant, ni qu'il ait violé une quelconque obligation de nature pécuniaire à l'endroit de la personne</w:t>
      </w:r>
    </w:p>
    <w:p>
      <w:r>
        <w:t>- 9/13 - P/481/2013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6B_412/2016 du 10 février 2017 consid. 2.3 et les références; 6B_845/2014 du 16 mars 2015 consid. 3.2; 6B_967/2013 du 21 février 2014 consid. 3.2). L'infraction n'est consommée que s'il y a eu un préjudice (ATF 120 IV 190 consid. 2b p. 193), en rapport de causalité avec la violation des devoirs (ATF 129 IV 124 consid. 3.1 p. 125).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120 IV 122 consid. 6b/bb p. 135). Il faut enfin que l'auteur ait agi intentionnellement (arrêt du Tribunal fédéral 6B_412/2016 du 10 février 2017 consid. 2.1 in fine). La conscience et la volonté de l'auteur doivent englober la qualité de gérant, la violation du devoir de gestion et le dommage (ATF 129 IV 124 consid. 3.1 p. 125; arrêt du Tribunal fédéral 6B_223/2010 du 13 janvier 2011 consid. 3.3.3). Le dol éventuel suffit; vu l'imprécision des éléments constitutifs objectifs de l'infraction, la jurisprudence se montre toutefois restrictive, soulignant que le dol éventuel doit être strictement caractérisé (ATF 123 IV 17 consid. 3e p. 23; arrêts du Tribunal fédéral 6B_787/2016 du 2 mai 2017 consid. 2.5; 6B_412/2016 du 10 février 2017 consid. 2.5).</w:t>
      </w:r>
    </w:p>
    <w:p>
      <w:r>
        <w:rPr>
          <w:b/>
        </w:rPr>
        <w:t>E. 2.3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Il y a faux matériel lorsque l'auteur réel du document ne correspond pas à l'auteur apparent, alors que le faux intellectuel vise un titre qui émane de son auteur apparent, mais dont le contenu ne correspond pas à la réalité (ATF 142 IV 119</w:t>
      </w:r>
    </w:p>
    <w:p>
      <w:r>
        <w:t>- 10/13 - P/481/2013 consid. 2.1 p. 121 ; ATF 138 IV 130 consid. 2.1 p. 134).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6B_55/2017 du 24 mars 2017 consid. 2.2). Les documents faussement créés doivent constituer des titres tels que définis par l'art. 110 ch. 4 CP, soit tout écrit destiné et propre à prouver un fait ayant une portée juridique et tout signe destiné à prouver un tel fait. Sur le plan subjectif, le faux dans les titres est une infraction intentionnelle. L'intention doit porter sur tous les éléments constitutifs. Le dol éventuel suffit (ATF 141 IV 369 consid. 7.4 p. 377).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6B_367/2007 du 10 octobre 2007 consid. 4.4 non publié in ATF 133 IV 303). 2.4.1. En l'espèce, s'agissant de l'infraction de gestion déloyale, il est constant qu'en transférant la somme de CHF 147'845.- sur son compte personnel depuis le compte de la société, le 27 décembre 2012, soit avant le "blocage" du compte de la société, et en s'acquittant du paiement de son loyer privé avec les fonds de la société, l'intimé a, en sa qualité d'associé gérant de D______, contrevenu à son obligation de bonne gestion. Cela étant, il ne fait aucun doute qu'il n'a pas délibérément porté atteinte aux intérêts pécuniaires de la société et partant, de la recourante, ayant lui-même constitué et entièrement financé cette société, ainsi que démontré, par pièces justificatives, avoir affecté une grande partie du montant en cause au paiement des charges et des dettes de la société, ce qui rend vraisemblable que le montant restant, non démontré par pièces, l'a également été. Il a de plus effectué de nombreux apports. La société n'a en outre jamais été bénéficiaire, ce que la recourante savait, de sorte qu'il n'y a jamais eu de bénéfice à partager entre les associés. Dans ces conditions, faute de préjudice pour la recourante et en l'absence de dol éventuel, tel que défini par la jurisprudence sus-énoncée au regard de l'art. 158 CP, c'est à bon droit que le Ministère public a ordonné le classement de l'infraction de gestion déloyale.</w:t>
      </w:r>
    </w:p>
    <w:p>
      <w:r>
        <w:t>- 11/13 - P/481/2013 2.4.2. S'agissant de l'infraction de faux dans les titres, la Chambre de céans constate, au vu de la jurisprudence précitée au sujet de l'art. 251 CP, que la contrefaçon de la signature de la recourante par le prévenu, sans son accord, ce qu'il a du reste lui-même admis, à côté de sa propre signature, constitue assurément un faux matériel, quand bien même il a ajouté la mention "______" avant la signature litigieuse. Cependant, le courrier litigieux a été établi, en mars 2013, soit lorsque les relations entre les parties étaient au plus bas et que des plaintes pénales avaient été déposées de part et d'autre. Le compte bancaire de la société était en outre "de fait" bloqué, les parties n'arrivant pas à s'entendre afin d'apposer leurs signatures sur les ordres de paiement dudit compte. Dans ce contexte, l'intimé gérait le paiement des factures de la société depuis son compte personnel, de sorte qu'à teneur du dossier, il n'est guère possible d'établir que sa demande avait un autre but que l'intérêt de la société et partant, de la recourante, en faisant en sorte de pouvoir continuer à en payer les dettes, ce qu'il a du reste démontré avoir fait. Dans ces circonstances, force est de constater qu'il n'existe de prévention suffisante ni de dessein de porter atteinte aux intérêts pécuniaires d'autrui ni de dessein de se procurer un avantage illicite et, partant d'infraction de faux dans les titres. S'agissant des actes d'instructions sollicités visant à établir la volonté de l'intimé de se procurer un avantage pécuniaire au détriment de la recourante et de D______, ils n'apparaissent pas utiles à l'élucidation des faits de la cause, dès lors que les déclarations des témoins ne pourront pas établir des faits concrets mais reposeront sur d'uniques déductions personnelles.</w:t>
      </w:r>
    </w:p>
    <w:p>
      <w:r>
        <w:rPr>
          <w:b/>
        </w:rPr>
        <w:t>E. 3</w:t>
      </w:r>
    </w:p>
    <w:p>
      <w:r>
        <w:t>Justifiée, l'ordonnance querellée sera donc confirmée.</w:t>
      </w:r>
    </w:p>
    <w:p>
      <w:r>
        <w:rPr>
          <w:b/>
        </w:rPr>
        <w:t>E. 4</w:t>
      </w:r>
    </w:p>
    <w:p>
      <w:r>
        <w:t>La recourante, qui succombe, supportera les frais envers l'État (art. 428 al. 1 CPP et 13 al. 1 du Règlement fixant le tarif des frais en matière pénale, RTFMP ; E 4 10.03), fixés en totalité à CHF 1'000.-, émolument de décision compris.</w:t>
      </w:r>
    </w:p>
    <w:p>
      <w:r>
        <w:rPr>
          <w:b/>
        </w:rPr>
        <w:t>E. 5.1</w:t>
      </w:r>
    </w:p>
    <w:p>
      <w:r>
        <w:t>L'indemnité du défenseur d'office de l'intimé, prévenu, sera fixée à la fin de la procédure (art. 135 al. 2 CPP), ce dernier ayant formé opposition à l'ordonnance pénale le condamnant.</w:t>
      </w:r>
    </w:p>
    <w:p>
      <w:r>
        <w:rPr>
          <w:b/>
        </w:rPr>
        <w:t>E. 5.2</w:t>
      </w:r>
    </w:p>
    <w:p>
      <w:r>
        <w:t>Une indemnisation par l'État des frais d'avocat de la recourante, partie plaignante, n'entre pas en considération, la défense d'office lui ayant été accordée qu'en sa qualité de prévenue, par ordonnance du 28 novembre 2014. * * * * *</w:t>
      </w:r>
    </w:p>
    <w:p>
      <w:r>
        <w:t>- 12/13 - P/481/2013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