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ACPR/405/2026 vom 22. April 2026</w:t>
      </w:r>
    </w:p>
    <w:p>
      <w:r>
        <w:t>GE Cour de justice, 2026-04-22, FR</w:t>
      </w:r>
    </w:p>
    <w:p>
      <w:r>
        <w:rPr>
          <w:b/>
        </w:rPr>
        <w:t xml:space="preserve">Quelle: </w:t>
      </w:r>
      <w:r>
        <w:t>https://mcp.opencaselaw.ch/entscheid/ge_gerichte_ACPR_405_2026</w:t>
      </w:r>
    </w:p>
    <w:p>
      <w:r>
        <w:t>FR: GE_GERICHTE ACPR/405/2026 du 22 avril 2026</w:t>
      </w:r>
    </w:p>
    <w:p>
      <w:r>
        <w:t>IT: GE_GERICHTE ACPR/405/2026 del 22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les charges.</w:t>
      </w:r>
    </w:p>
    <w:p>
      <w:r>
        <w:rPr>
          <w:b/>
        </w:rPr>
        <w:t>E. 2.1</w:t>
      </w:r>
    </w:p>
    <w:p>
      <w:r>
        <w:t>Pour qu'une personne soit placée en détention provisoire ou pour des motifs de sûreté, il doit exister à son égard des charges suffisantes ou des indices sérieux de</w:t>
      </w:r>
    </w:p>
    <w:p>
      <w:r>
        <w:t>- 18/24 - P/25146/2024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la recourante a été membre du conseil d’administration et présidente de E______/F______ SA du 4 novembre 2019 au 8 janvier 2024, soit pendant la période où les levées de fonds les plus importantes ont eu lieu. Or, au 31 décembre 2023, le dernier bilan de E______/F______ SA enregistré avant la démission de la recourante faisait état de plus de CHF 127 millions d’obligations de E______/F______ SA impayées. Alors que, selon les prospectus d’émission, les fonds levés devaient être investis dans le solaire, ceux-ci auraient en outre été utilisés à d’autres fins et en particulier versés à l’actionnaire majoritaire de E______/F______ SA, G______ AG – dont l’administrateur et ayant droit est le frère de la recourante, C______ –, pour plus de CHF 52 millions. Une dette de cette dernière envers E______/F______ SA de près de CHF 20 millions n’aurait également pas été remboursée, ce alors même que plusieurs compensations sous enquête, signées par la recourante pour le compte de E______/F______ SA, ont servi à diminuer comptablement le montant de cette dette. À cela s’ajoute le financement de biens immobiliers et une activité de production de cannabis sous l’égide de G______ AG, à hauteur de plusieurs millions, à destination du Portugal et du Luxembourg. Entendue d’abord comme personne appelée à donner des renseignements puis comme prévenue, la recourante a admis avoir rejoint E______/F______ SA à demande de son frère pour y apporter son expertise en matière immobilière, ce dernier et D______ souhaitant investir davantage dans ce domaine. Or, des transactions immobilières sont en particulier au cœur de l'instruction. L'intéressée, par sa fonction, exerçait de nombreuses tâches – décrites sous consid. B. h. supra – et a reconnu avoir été autonome dans ses prises de décisions. Quand les opportunités d’investissements ne correspondaient pas au but de l’émission d’obligations, des prêts étaient octroyés par E______/F______ SA à G______ AG afin que les opportunités soient menées par cette dernière. Elle a également admis que bien que E______/F______ SA n’eût pas assez de revenus pour couvrir ses charges, cela n’avait pas empêché d’effectuer des émissions d’obligations récurrentes, reconnaissant par ailleurs que les prospectus d’émission ne mentionnaient pas des versements à G______ AG en vue d’investissements hors du domaine du solaire. Elle n’avait pas non plus pris des mesures pour empêcher son frère d’utiliser E______/F______ SA "comme une banque" pour G______ AG.</w:t>
      </w:r>
    </w:p>
    <w:p>
      <w:r>
        <w:t>- 19/24 - P/25146/2024 Quand bien même la recourante conteste tout enrichissement personnel indu et tout dommage, les éléments ci-dessus font apparaître à ce stade l'existence de charges graves et suffisantes sur elle. Il n'appartient pas à la Chambre de céans de se prononcer ici sur la responsabilité des différents acteurs mais au juge du fond, l'instruction visant en l'état à déterminer les rôles et implications de la recourante, de C______ et de D______ dans la gestion globale de E______/F______ SA et des sociétés affiliées ainsi que l'usage qui a été fait des fonds des investisseurs. Que les charges n'aient été signifiées à la recourante que le 26 mars 2026, soit plusieurs mois après la mise en prévention de C______ et de D______, ne les rend pas infondées, ces derniers étant les animateurs de E______/F______ SA jusqu'à sa faillite prononcée le 14 novembre 2024, de sorte qu'il était logique que le Ministère public se concentre d'abord sur eux. Est également spécieux l'argument de la recourante selon lequel, s'il avait existé des soupçons sur elle, elle aurait été entendue directement comme prévenue et non, préalablement, comme personne appelée à donner des renseignements, ce statut, lorsqu'il découle de l'art. 178 let. d CPP, comme cela a été le cas ici, étant celui d'un "quasi-prévenu", soit d'une personne déjà suspectée.</w:t>
      </w:r>
    </w:p>
    <w:p>
      <w:r>
        <w:rPr>
          <w:b/>
        </w:rPr>
        <w:t>E. 3</w:t>
      </w:r>
    </w:p>
    <w:p>
      <w:r>
        <w:t>La recourante conteste les risques de fuite et de collusion.</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w:t>
      </w:r>
    </w:p>
    <w:p>
      <w:r>
        <w:t>- 20/24 - P/25146/2024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3.3</w:t>
      </w:r>
    </w:p>
    <w:p>
      <w:r>
        <w:t>En l'occurrence, la recourante critique son arrestation provisoire à l'audience du 26 mars 2026 au motif qu'aucun élément survenu lors de celle-ci ne fondait un risque de fuite ou de collusion, ses déclarations étant identiques à celles tenues lors de l'audience de la veille, à l'issue de laquelle les Procureurs n'avaient pas considéré l'existence de ces risques. Or, c'est à l'audience du 26 mars 2026, et non la veille, que les soupçons pesant sur la recourante se sont matérialisés avec sa mise en prévention prononcée au début de celle- ci à 8h45, et avec eux l'appréciation des risques de fuite et de collusion par les Procureurs, qu'il y a à présent lieu d'examiner.</w:t>
      </w:r>
    </w:p>
    <w:p>
      <w:r>
        <w:rPr>
          <w:b/>
        </w:rPr>
        <w:t>E. 3.3.1</w:t>
      </w:r>
    </w:p>
    <w:p>
      <w:r>
        <w:t>S'agissant tout d'abord du risque de fuite, il a été jugé ténu par le TMC. En l'espèce, il est admis que la recourante est de nationalité suisse, où elle est domiciliée et possède ses attaches familiales et professionnelles. Elle a également déféré aux convocations du Ministère public, y compris à l'audience de sa mise en prévention du 26 mars 2026. L'intéressée détient néanmoins plusieurs biens immobiliers à l'étranger (France et Autriche). Quand bien même elle affirme les louer, rien n'indique qu'elle ne pourrait pas en reprendre possession et fuir ainsi dans l'un de ces pays limitrophes. Si elle affirme avoir cédé à son fils un bien immobilier à AM______ [Espagne], rien ne l'empêcherait non plus d'y résider avec son accord. À cela s'ajoute que ses frères C______ et AA______ possèdent également de nombreux biens immobiliers à l'étranger. Si la situation financière de la recourante est floue à ce stade, elle est manifestement conséquente. Partant, il lui serait loisible de quitter la Suisse afin d'éviter toute poursuite pénale. Son âge (70 ans) et son état de santé – dont rien n'indique au demeurant qu'il serait altéré – ne constituent pas des obstacles majeurs, en tant que des soins médicaux de qualité pourraient également lui être prodigués à l'étranger. Ce risque est en outre renforcé par la peine-menace et concrètement encourue, sans compter le dommage considérable dénoncé par désormais plus de 900 plaignants que la recourante devra affronter.</w:t>
      </w:r>
    </w:p>
    <w:p>
      <w:r>
        <w:t>- 21/24 - P/25146/2024 La recourante propose diverses mesures de substitution pour pallier ce risque. Comme constaté par le TMC, une assignation à résidence assortie du port d'un bracelet électronique, l'obligation de déposer ses documents d'identité et l'obligation de se présenter régulièrement aux autorités ne sauraient pallier le risque que l'intéressée se soustraie à la procédure pénale, telles mesures ne l'empêchant pas de quitter la Suisse par voie terrestre. Une caution pourrait certes entrer en ligne de compte. Dans la mesure toutefois où l'on ignore à ce stade la surface financière de la recourante, il n'est pas possible de fixer un montant en adéquation avec celle-ci et suffisamment dissuasif pour éviter toute velléité de fuite.</w:t>
      </w:r>
    </w:p>
    <w:p>
      <w:r>
        <w:rPr>
          <w:b/>
        </w:rPr>
        <w:t>E. 3.3.2</w:t>
      </w:r>
    </w:p>
    <w:p>
      <w:r>
        <w:t>Sous l'angle du risque de collusion, force est de constater qu'il demeure entier à ce stade, vu les déclarations divergentes des prévenus notamment quant à leurs rôles respectifs dans les faits reprochés et l'usage qui a été fait des fonds des plaignants. Ainsi, le Ministère public a d'ores et déjà convoqué plusieurs audiences aux fins d'entendre les témoins principaux Z______ (le 23 avril 2026) et AA______ (les 28 et 29 mai 2026) ainsi que les témoins R______, AB______, AC______, AD______, AE______ et divers autres employés de E______/F______ SA et/ou G______ AG ainsi que O______ (durant toute la semaine du 29 juin au 3 juillet 2026), dites auditions devant également porter sur l’usage fait des fonds des investisseurs à tout le moins entre 2018 à 2024, soit notamment durant la période à laquelle la recourante était présidente de E______/F______ SA. Cette dernière devra également être confrontée aux documents et données séquestrés. Partant, il y a lieu de d'éviter qu'elle ne cherche à influencer les déclarations à venir, en particulier des témoins principaux ci-dessus. Qu’elle prétende avoir eu peu de liens avec Z______ n’est pas avéré à ce stade et devra être vérifié. Le risque de collusion est d'autant plus élevé que la recourante a admis avoir échangé régulièrement avec L______, y compris postérieurement à l'audition de celui-ci le 19 janvier 2026, et lui avoir posé des questions sur certains faits de la procédure. Qu'elle affirme avoir eu un rôle "secondaire" et ne pas être intervenue auprès des investisseurs obligataires n'est pas un gage suffisant qu'elle ne chercherait pas à compromettre la manifestation de la vérité, des investigations visant à déterminer ses rôle et implication étant précisément en cours. La recourante ne saurait en outre prétendre avoir eu, depuis l’arrestation des deux autres prévenus, le temps de conférer avec les témoins de l’affaire, dès lors qu’elle ne connaissait pas les charges pesant contre elle jusqu’à son arrestation provisoire du 26 mars 2026. Les articles de presse qu’elle aura pu lire avant ne font par ailleurs état des auditions des coprévenus que dans les grandes lignes.</w:t>
      </w:r>
    </w:p>
    <w:p>
      <w:r>
        <w:t>- 22/24 - P/25146/2024 Comme relevé par le TMC, il convient également de préserver les éventuels actifs et éléments de preuves qui pourraient être découverts ainsi que l'enquête en cours, de toute altération ou dissipation de la part de la recourante. L'interdiction de contacter les personnes impliquées ou de communiquer avec elles sur l'affaire apparaît, vu ce qui précède, insuffisante en l’état, sans compter qu'elle se fonderait pour l'essentiel sur la propre volonté de la recourante et serait difficilement contrôlable le cas échéant.</w:t>
      </w:r>
    </w:p>
    <w:p>
      <w:r>
        <w:rPr>
          <w:b/>
        </w:rPr>
        <w:t>E. 4</w:t>
      </w:r>
    </w:p>
    <w:p>
      <w:r>
        <w:t>La durée de la détention provisoire de la recourante subie à ce jour et jusqu'à l'échéance fixée demeure proportionnée à la peine-menace et concrète encourue si elle devait être reconnue coupable des faits graves qui lui sont reprochés.</w:t>
      </w:r>
    </w:p>
    <w:p>
      <w:r>
        <w:rPr>
          <w:b/>
        </w:rPr>
        <w:t>E. 5</w:t>
      </w:r>
    </w:p>
    <w:p>
      <w:r>
        <w:t>Le recours s'avère ainsi infondé et doit être rejeté.</w:t>
      </w:r>
    </w:p>
    <w:p>
      <w:r>
        <w:rPr>
          <w:b/>
        </w:rPr>
        <w:t>E. 6</w:t>
      </w:r>
    </w:p>
    <w:p>
      <w:r>
        <w:t>La recourante, qui succombe, supportera les frais envers l'État, qui seront fixés en totalité à CHF 1'500.-, émolument de décision compris, vu le travail généré (art. 428 al. 1 CPP et 13 al. 1 du Règlement fixant le tarif des frais en matière pénale, RTFMP; E 4 10.03).</w:t>
      </w:r>
    </w:p>
    <w:p>
      <w:r>
        <w:rPr>
          <w:b/>
        </w:rPr>
        <w:t>E. 7</w:t>
      </w:r>
    </w:p>
    <w:p>
      <w:r>
        <w:t>Corrélativement, aucun dépens n'est dû au défenseur privé. * * * * *</w:t>
      </w:r>
    </w:p>
    <w:p>
      <w:r>
        <w:t>- 23/24 -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