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ACPR/404/2026 vom 23. April 2026</w:t>
      </w:r>
    </w:p>
    <w:p>
      <w:r>
        <w:t>GE Cour de justice, 2026-04-23, FR</w:t>
      </w:r>
    </w:p>
    <w:p>
      <w:r>
        <w:rPr>
          <w:b/>
        </w:rPr>
        <w:t xml:space="preserve">Quelle: </w:t>
      </w:r>
      <w:r>
        <w:t>https://mcp.opencaselaw.ch/entscheid/ge_gerichte_ACPR_404_2026</w:t>
      </w:r>
    </w:p>
    <w:p>
      <w:r>
        <w:t>FR: GE_GERICHTE ACPR/404/2026 du 23 avril 2026</w:t>
      </w:r>
    </w:p>
    <w:p>
      <w:r>
        <w:t>IT: GE_GERICHTE ACPR/404/2026 del 23 aprile 2026</w:t>
      </w:r>
    </w:p>
    <w:p>
      <w:pPr>
        <w:pStyle w:val="Heading2"/>
      </w:pPr>
      <w:r>
        <w:t>Erwägungen</w:t>
      </w:r>
    </w:p>
    <w:p>
      <w:r>
        <w:rPr>
          <w:b/>
        </w:rPr>
        <w:t>E. 29</w:t>
      </w:r>
    </w:p>
    <w:p>
      <w:r>
        <w:t>juin prochain. Qu'il dise vouloir y déférer et faire face à ses responsabilités ne saurait constituer un gage suffisant. Quant aux mesures de substitution qu'il propose pour pallier ce risque, force est de constater qu'elles sont identiques à celles qu'il avait déjà proposées et qui ont été jugées insuffisantes. En particulier, les promesses de logement et d'embauche produites ici émanent des mêmes personnes qu'auparavant</w:t>
      </w:r>
    </w:p>
    <w:p>
      <w:r>
        <w:t>- 7/10 - P/2522/2026 et n'ont pas été actualisées, ce qui permet de minimiser leur portée. Ces promesses, tout comme les autres mesures proposées, n’empêcheraient au demeurant pas la fuite de l'intéressé mais ne permettraient que de la constater a posteriori. Il en outre été statué que la caution proposée (de CHF 40'000.- à l'époque, ramenée ici à CHF 20'000.-) ne constituait pas un frein suffisant à toute velléité de fuite, la situation patrimoniale des personnes disposées à réunir la somme et l'origine des fonds étant inconnue d'une part, et l'adéquation du montant avec un tel risque impossible à évaluer, eu égard aux revenus que le trafic de stupéfiants reproché aurait pu générer pour le recourant d'autre part;  le recourant conteste également la proportionnalité de sa détention; 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  en l'occurrence, le recourant est d'ores et déjà renvoyé en jugement. On ne décèle ainsi, en l'état, aucune violation du principe susmentionné, au regard de la gravité des faits en cause, quand bien même l'intéressé est détenu depuis le 14 avril 2025, de sorte que si les infractions dont il est prévenu étaient confirmées, la peine concrètement encourue dépasserait la détention avant jugement subie à ce jour;  qu’il ait un emploi à la prison et prépare sa sortie en suivant des cours d’informatique ne rend pas sa détention disproportionnée;  que sa détention ait un impact sur sa vie privée et familiale ne constitue pas non plus un motif s’opposant à celle-là, ce d’autant moins que les documents médicaux produits par l’intéressé à l’appui de sa demande de mise en liberté ne font état d’aucun besoin impératif de sa présence aux côtés de son fils ou de son épouse;  le recourant se plaint enfin d'une violation du principe de la célérité;  ce grief est irrecevable, dans la mesure où il a été formulé pour la première fois dans le cadre de sa réplique, étant à cet égard rappelé que, de jurisprudence constante, la motivation d'un recours doit être entièrement contenue dans l'acte de recours lui- même et ne saurait être complétée ou corrigée ultérieurement (arrêt du Tribunal fédéral 1B_183/2012 du 20 novembre 2012 consid. 2);</w:t>
      </w:r>
    </w:p>
    <w:p>
      <w:r>
        <w:t>- 8/10 - P/2522/2026  le recours s'avère ainsi infondé et doit être rejeté;  le recourant, qui succombe, supportera les frais envers l'État, qui seront fixés en totalité à CHF 900.- (art. 428 al. 1 CPP et 13 al. 1 du Règlement fixant le tarif des frais en matière pénale, RTFMP; E 4 10.03);  le recourant plaide au bénéfice d'une défense d'office; quand bien même il succombe, on peut admettre que l'exercice du présent recours ne procède pas d'un abus. Dans la mesure où la procédure se poursuit, l'indemnité sera fixée à la fin de la procédure (art. 135 al. 2 CPP). * * * * *</w:t>
      </w:r>
    </w:p>
    <w:p>
      <w:r>
        <w:t>- 9/10 - P/2522/2026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