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ACPR/403/2026 vom 22. April 2026</w:t>
      </w:r>
    </w:p>
    <w:p>
      <w:r>
        <w:t>GE Cour de justice, 2026-04-22, FR</w:t>
      </w:r>
    </w:p>
    <w:p>
      <w:r>
        <w:rPr>
          <w:b/>
        </w:rPr>
        <w:t xml:space="preserve">Quelle: </w:t>
      </w:r>
      <w:r>
        <w:t>https://mcp.opencaselaw.ch/entscheid/ge_gerichte_ACPR_403_2026</w:t>
      </w:r>
    </w:p>
    <w:p>
      <w:r>
        <w:t>FR: GE_GERICHTE ACPR/403/2026 du 22 avril 2026</w:t>
      </w:r>
    </w:p>
    <w:p>
      <w:r>
        <w:t>IT: GE_GERICHTE ACPR/403/2026 del 22 aprile 2026</w:t>
      </w:r>
    </w:p>
    <w:p>
      <w:pPr>
        <w:pStyle w:val="Heading2"/>
      </w:pPr>
      <w:r>
        <w:t>Erwägungen</w:t>
      </w:r>
    </w:p>
    <w:p>
      <w:r>
        <w:rPr>
          <w:b/>
        </w:rPr>
        <w:t>E. 1</w:t>
      </w:r>
    </w:p>
    <w:p>
      <w:r>
        <w:t>Le recourant sollicite préalablement la suspension du traitement du présent recours jusqu'à droit jugé par la Chambre administrative de la Cour de justice.</w:t>
      </w:r>
    </w:p>
    <w:p>
      <w:r>
        <w:rPr>
          <w:b/>
        </w:rPr>
        <w:t>E. 1.1</w:t>
      </w:r>
    </w:p>
    <w:p>
      <w:r>
        <w:t>À teneur de l'art. 314 al. 1 let. b CPP, le ministère public peut suspendre une instruction, notamment, lorsque l'issue de la procédure pénale dépend d'un autre procès dont il paraît indiqué d'attendre la fin.</w:t>
      </w:r>
    </w:p>
    <w:p>
      <w:r>
        <w:rPr>
          <w:b/>
        </w:rPr>
        <w:t>E. 1.2</w:t>
      </w:r>
    </w:p>
    <w:p>
      <w:r>
        <w:t>Cette disposition s'applique par analogie à la procédure de recours, conformément à l'art. 379 CPP (arrêt du Tribunal fédéral 1B_259/2018 du 26 juin 2018 consid. 2; ACPR/808/2024 du 4 novembre 2024 et les autres arrêts cités; N. SCHMID / D. JOSITSCH, Handbuch des schweizerischen Strafprozessrechts, 4ème éd., Zurich 2023, n. 1236 n. de bas de page 88). Les parties ne disposent pas d'un droit à la suspension, compte tenu du large pouvoir d'appréciation dont dispose l'autorité dans l'examen de l'art. 314 CPP (A. KUHN / Y. JEANNERET / C. PERRIER DEPEURSINGE (éds), Commentaire romand : Code de procédure pénale suisse, 2ème éd., Bâle 2019, n. 4a ad art. 314).</w:t>
      </w:r>
    </w:p>
    <w:p>
      <w:r>
        <w:rPr>
          <w:b/>
        </w:rPr>
        <w:t>E. 1.3</w:t>
      </w:r>
    </w:p>
    <w:p>
      <w:r>
        <w:t>En l'occurrence, le recours interjeté devant la Chambre administrative de la Cour de justice concerne d'autres parties (Me B______ et la Commission du barreau) et relève exclusivement de l'application des règles déontologiques régissant la profession</w:t>
      </w:r>
    </w:p>
    <w:p>
      <w:r>
        <w:t>- 5/9 - P/21600/2018 d'avocat. Son sort est donc indépendant de celui du présent litige, qui ressort du CPP et plus particulièrement de ses art. 132 à 134. Partant, il n'y a pas lieu d'attendre l'issue de celui-ci.</w:t>
      </w:r>
    </w:p>
    <w:p>
      <w:r>
        <w:rPr>
          <w:b/>
        </w:rPr>
        <w:t>E. 2.1</w:t>
      </w:r>
    </w:p>
    <w:p>
      <w:r>
        <w:t>Le présent recours a été déposé selon la forme et dans le délai prescrits (art. 385 al. 1 et 396 al. 1 CPP), concerne une ordonnance sujette à recours auprès de la Chambre de céans (art. 393 al. 1 let. b CPP) et émane du prévenu qui, partie à la procédure (art. 104 al. 1 let. a CPP), a qualité pour agir.</w:t>
      </w:r>
    </w:p>
    <w:p>
      <w:r>
        <w:rPr>
          <w:b/>
        </w:rPr>
        <w:t>E. 2.2</w:t>
      </w:r>
    </w:p>
    <w:p>
      <w:r>
        <w:t>Selon l'art. 382 al. 1 CPP, toute partie qui a un intérêt juridiquement protégé à l'annulation ou à la modification d'une décision a qualité pour recourir contre celle-ci.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arrêt du Tribunal fédéral 6B_818/2018 du 4 octobre 2018 consid. 2.1).</w:t>
      </w:r>
    </w:p>
    <w:p>
      <w:r>
        <w:rPr>
          <w:b/>
        </w:rPr>
        <w:t>E. 2.3</w:t>
      </w:r>
    </w:p>
    <w:p>
      <w:r>
        <w:t>En l'espèce, le recourant ne conteste pas relever du régime de la défense obligatoire, eu égard à la peine encourue (art. 130 let. b CPP). Son avocate privée ayant, à l'audience de jugement du 8 décembre 2025, déclaré cesser d'occuper, les conditions posées à une défense d'office étaient ainsi réalisées. Partant, on ne voit pas en quoi la nomination d'un avocat d'office pour cette raison léserait le recourant, de sorte que son intérêt juridique à recourir semble faire défaut. Le grief, si tant est qu'il est recevable, doit par conséquent être rejeté.</w:t>
      </w:r>
    </w:p>
    <w:p>
      <w:r>
        <w:rPr>
          <w:b/>
        </w:rPr>
        <w:t>E. 3</w:t>
      </w:r>
    </w:p>
    <w:p>
      <w:r>
        <w:t>En tout état, le recourant ne reproche pas à l'autorité intimée de ne pas s'être vu impartir un délai pour désigner un autre défenseur privé, vu les impératifs liés au principe de célérité, étant rappelé qu'il fait l'objet de mesures de substitution à la détention provisoire. Il excipe uniquement une violation du droit à une défense effective en raison de la rupture du lien de confiance, ce qui revient à solliciter un changement de défenseur d'office.</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t>- 6/9 - P/21600/2018 Le droit à l'assistance judiciaire (art. 6 § 3 let. c CEDH et 29 al. 3 Cst.)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(ATF 138 IV 161 consid. 2.4). Selon l'art. 134 al. 2 CPP,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(ATF 138 IV 161 consid. 2.4).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 A. KUHN / Y. JEANNERET / C. PERRIER DEPEURSINGE (éds), op. cit., n. 20-22 ad art. 134).</w:t>
      </w:r>
    </w:p>
    <w:p>
      <w:r>
        <w:rPr>
          <w:b/>
        </w:rPr>
        <w:t>E. 3.2</w:t>
      </w:r>
    </w:p>
    <w:p>
      <w:r>
        <w:t>En l'occurrence, le recourant paraît avoir conservé toute confiance en son avocate, laquelle l'assiste – comme il le souligne – depuis plus de six ans, en tant qu'il reproche à l'autorité intimée d'avoir transformé une relation de confiance construite dans la durée en une défense contrainte. Or, on ne voit pas en quoi le lien de confiance entre le recourant et son avocate de choix, désormais désignée conseil d'office, serait irrémédiablement rompu au sens de l'art. 134 al. 2 CPP. À l'annonce du Tribunal correctionnel, à l'audience du 8 décembre 2025, qu'il engageait la procédure par défaut, l'avocate en question a en effet déclaré cesser d'occuper, suivant en cela les instructions claires de son client. Que le recourant estime que la désignation subséquente de son avocate comme défenseur d'office placerait celle-ci devant "une situation de conflit déontologique et un cas de conscience" ne constitue pas un motif objectif au sens de la disposition précitée.</w:t>
      </w:r>
    </w:p>
    <w:p>
      <w:r>
        <w:t>- 7/9 - P/21600/2018 Le recourant n'ayant en définitive aucun reproche à formuler à son avocate, la nomination de celle-ci comme défenseur d'office n'appelle aucune critique.</w:t>
      </w:r>
    </w:p>
    <w:p>
      <w:r>
        <w:rPr>
          <w:b/>
        </w:rPr>
        <w:t>E. 4</w:t>
      </w:r>
    </w:p>
    <w:p>
      <w:r>
        <w:t>Justifiée, l'ordonnance querellée sera donc confirmée.</w:t>
      </w:r>
    </w:p>
    <w:p>
      <w:r>
        <w:rPr>
          <w:b/>
        </w:rPr>
        <w:t>E. 5</w:t>
      </w:r>
    </w:p>
    <w:p>
      <w:r>
        <w:t>Le recourant, qui succombe, supportera les frais de la procédure de recours (art. 428 al. 1 CPP), qui seront fixés en totalité à CHF 900.- (art. 13 al. 1 du Règlement fixant le tarif des frais en matière pénale, RTFMP; E 4 10.03).</w:t>
      </w:r>
    </w:p>
    <w:p>
      <w:r>
        <w:rPr>
          <w:b/>
        </w:rPr>
        <w:t>E. 6</w:t>
      </w:r>
    </w:p>
    <w:p>
      <w:r>
        <w:t>Vu l'issue du recours, il pouvait être statuer sans échange d'écritures ni débats (art. 390 al. 2 et 5 a contrario CPP). * * * * *</w:t>
      </w:r>
    </w:p>
    <w:p>
      <w:r>
        <w:t>- 8/9 -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