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ACPR/401/2019 vom 6. Mai 2019</w:t>
      </w:r>
    </w:p>
    <w:p>
      <w:r>
        <w:t>GE Cour de justice, 2019-05-06, FR</w:t>
      </w:r>
    </w:p>
    <w:p>
      <w:r>
        <w:rPr>
          <w:b/>
        </w:rPr>
        <w:t xml:space="preserve">Quelle: </w:t>
      </w:r>
      <w:r>
        <w:t>https://mcp.opencaselaw.ch/entscheid/ge_gerichte_ACPR_401_2019</w:t>
      </w:r>
    </w:p>
    <w:p>
      <w:r>
        <w:t>FR: GE_GERICHTE ACPR/401/2019 du 6 mai 2019</w:t>
      </w:r>
    </w:p>
    <w:p>
      <w:r>
        <w:t>IT: GE_GERICHTE ACPR/401/2019 del 6 maggio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w:t>
      </w:r>
    </w:p>
    <w:p>
      <w:r>
        <w:t>- 5/8 - P/9887/2018 apparaître vraisemblable après l'accomplissement des actes d'instruction envisa- 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 recourant ne conteste pas les charges pesant à son encontre, à tout le moins celles en lien avec la perception indue de prestations du SPC, étant relevé qu'il appartiendra au juge du fond de se déterminer sur sa culpabilité.</w:t>
      </w:r>
    </w:p>
    <w:p>
      <w:r>
        <w:rPr>
          <w:b/>
        </w:rPr>
        <w:t>E. 3</w:t>
      </w:r>
    </w:p>
    <w:p>
      <w:r>
        <w:t>Il conteste le risque de fuite.</w:t>
      </w:r>
    </w:p>
    <w:p>
      <w:r>
        <w:rPr>
          <w:b/>
        </w:rPr>
        <w:t>E. 3.1</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l'occurrence, le recourant, qui admet avoir vécu à Genève grâce aux prestations sociales, n'a aucune attache familiale ni domicile en Suisse, son épouse vivant à l'étranger et sa famille, dont ses deux sœurs, en Italie. Bien que titulaire d'un permis C, il pourrait être fortement tenté de fuir la Suisse pour l'Italie, pays dont il est ressortissant, n'ayant plus aucune perspective d'avenir ici. L'enquête diligentée cherche à déterminer s'il dispose de biens immobiliers ou d'avoirs bancaires en Italie, étant précisé qu'à ce stade, il est déjà suspecté de posséder, à tout le moins, une maison avec ses sœurs à F______. Le risque que le recourant fuie vers l'Italie – pays duquel il ne pourrait être extradé – ou disparaisse dans la clandestinité est donc particulièrement grand, sans compter la peine-menace encourue s'il venait à être reconnu coupable de l'ensemble des infractions reprochées. Ce risque semble par ailleurs très concret, eu égard à l'intention qu'il a exprimée dans des courriers interceptés depuis la prison. Partant, c'est à bon droit que le TMC a retenu ce risque.</w:t>
      </w:r>
    </w:p>
    <w:p>
      <w:r>
        <w:rPr>
          <w:b/>
        </w:rPr>
        <w:t>E. 4</w:t>
      </w:r>
    </w:p>
    <w:p>
      <w:r>
        <w:t>L'admission du risque de fuite dispense d'examiner s'il existe, en sus, un risque de collusion et de réitération.</w:t>
      </w:r>
    </w:p>
    <w:p>
      <w:r>
        <w:rPr>
          <w:b/>
        </w:rPr>
        <w:t>E. 5.1</w:t>
      </w:r>
    </w:p>
    <w:p>
      <w:r>
        <w:t>Conformément au principe de la proportionnalité (art. 36 al. 3 Cst.), il convient d'examiner les possibilités de mettre en œuvre d'autres solutions moins</w:t>
      </w:r>
    </w:p>
    <w:p>
      <w:r>
        <w:t>- 6/8 - P/9887/2018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l'espèce, force est de constater que l'éventuel dépôt de papiers d'identité ou le dépôt des clés et carte grise de son véhicule ne sont pas suffisants pour empêcher le recourant de quitter la Suisse par voie terrestre ou disparaître dans la clandestinité. Il en va de même de son seul engagement de rester en Suisse – contredit par ses courriers – et de déférer aux convocations de la justice. Quant à son engagement de se présenter régulièrement à un poste de police pour prouver sa présence sur le territoire suisse, il ne permettrait pas de pallier sa fuite éventuelle mais seulement de la constater a posteriori.</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arrêts du Tribunal fédéral 1B_750/2012 du 16 janvier 2013 consid. 2, 1B_624/2011 du 29 novembre 2011 consid. 3.1 et 1B_9/2011 du 7 février 2011 consid. 7.2).</w:t>
      </w:r>
    </w:p>
    <w:p>
      <w:r>
        <w:rPr>
          <w:b/>
        </w:rPr>
        <w:t>E. 6.2</w:t>
      </w:r>
    </w:p>
    <w:p>
      <w:r>
        <w:t>En l'occurrence, si le recourant devait être reconnu coupable de toutes les préventions retenues contre lui, la peine susceptible d'entrer concrètement en considération ne paraît pas devoir être inférieure à la durée de sa privation actuelle de liberté (art. 212 al. 3 CPP) – de bientôt neuf mois –, étant rappelé que la seule infraction d'escroquerie est passible d'une peine privative de liberté de cinq ans au plus.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- 7/8 - P/9887/2018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