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ACPR/401/2017 vom 25. Januar 2017</w:t>
      </w:r>
    </w:p>
    <w:p>
      <w:r>
        <w:t>GE Cour de justice, 2017-01-25, FR</w:t>
      </w:r>
    </w:p>
    <w:p>
      <w:r>
        <w:rPr>
          <w:b/>
        </w:rPr>
        <w:t xml:space="preserve">Quelle: </w:t>
      </w:r>
      <w:r>
        <w:t>https://mcp.opencaselaw.ch/entscheid/ge_gerichte_ACPR_401_2017</w:t>
      </w:r>
    </w:p>
    <w:p>
      <w:r>
        <w:t>FR: GE_GERICHTE ACPR/401/2017 du 25 janvier 2017</w:t>
      </w:r>
    </w:p>
    <w:p>
      <w:r>
        <w:t>IT: GE_GERICHTE ACPR/401/2017 del 25 gennaio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Il s'agit, en particulier, des cas où la preuve d'une infraction, soit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Berne 2010, p. 62). Une non-entrée en matière s'impose lorsque le litige est de nature purement civile (ATF 137 IV 285 consid. 2.3 p. 287).</w:t>
      </w:r>
    </w:p>
    <w:p>
      <w:r>
        <w:rPr>
          <w:b/>
        </w:rPr>
        <w:t>E. 3.2</w:t>
      </w:r>
    </w:p>
    <w:p>
      <w:r>
        <w:t>Le règlement concernant la tranquillité publique (RTP ; F 3 10.03), dont les contrevenants sont passibles de l'amende selon son art. 12, prescrit que tout excès de bruit de nature à troubler la tranquillité publique est interdit (art. 1 al. 1). De nuit, chacun doit s’abstenir de provoquer des bruits pouvant troubler le repos des habitants (art. 1 al. 2). Sont notamment interdits, de jour comme de nuit, l’usage abusif d’instruments de musique ou d’appareils servant à la reproduction des sons (notamment appareils de radiophonie, gramophones, diffuseurs, haut-parleurs) (art. 2 let. a).</w:t>
      </w:r>
    </w:p>
    <w:p>
      <w:r>
        <w:rPr>
          <w:b/>
        </w:rPr>
        <w:t>E. 3.3</w:t>
      </w:r>
    </w:p>
    <w:p>
      <w:r>
        <w:t>Dans le cas d'espèce, le recourant critique, dans son recours, l'absence de réaction de la régie concernant son litige avec un voisin. Cependant, il n'apparaît pas que cette dernière aurait commis une quelconque infraction en ayant eu une "absence de réaction dans [un] dossier". Le recourant n'explique d'ailleurs pas en quoi les agissements de la régie seraient constitutifs d'une infraction pénale. Tout au plus, le comportement reproché au locataire, à supposer qu'il soit avéré, pourrait constituer une violation du RTP. Cependant, le recourant fonde ses accusations uniquement contre la régie et ne porte pas formellement plainte contre le locataire en question.</w:t>
      </w:r>
    </w:p>
    <w:p>
      <w:r>
        <w:t>- 4/6 - P/1743/2017 Au surplus, les éventuels manquements de la régie ne sont pas du ressort des autorités pénales – dont le rôle se limite à la poursuite et au jugement des infractions prévues par le droit fédéral (art. 1 al. 1 CPP) – mais des autorités civiles. Ainsi, il est loisible au recourant de s'adresser à ces dernières. Par conséquent, c'est à juste titre que le Ministère public a refusé d'entrer en matière en application de l'art. 310 al. 1 let. a CPP.</w:t>
      </w:r>
    </w:p>
    <w:p>
      <w:r>
        <w:rPr>
          <w:b/>
        </w:rPr>
        <w:t>E. 4</w:t>
      </w:r>
    </w:p>
    <w:p>
      <w:r>
        <w:t>Justifiée, l'ordonnance querellée sera donc confirmée.</w:t>
      </w:r>
    </w:p>
    <w:p>
      <w:r>
        <w:rPr>
          <w:b/>
        </w:rPr>
        <w:t>E. 5</w:t>
      </w:r>
    </w:p>
    <w:p>
      <w:r>
        <w:t>Le recourant, qui succombe, supportera les frais envers l'État, arrêtés au total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