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ACPR/39/2026 vom 23. Dezember 2025</w:t>
      </w:r>
    </w:p>
    <w:p>
      <w:r>
        <w:t>GE Cour de justice, 2025-12-23, FR</w:t>
      </w:r>
    </w:p>
    <w:p>
      <w:r>
        <w:rPr>
          <w:b/>
        </w:rPr>
        <w:t xml:space="preserve">Quelle: </w:t>
      </w:r>
      <w:r>
        <w:t>https://mcp.opencaselaw.ch/entscheid/ge_gerichte_ACPR_39_2026</w:t>
      </w:r>
    </w:p>
    <w:p>
      <w:r>
        <w:t>FR: GE_GERICHTE ACPR/39/2026 du 23 décembre 2025</w:t>
      </w:r>
    </w:p>
    <w:p>
      <w:r>
        <w:t>IT: GE_GERICHTE ACPR/39/2026 del 23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omis de motiver sa décision, en dépit du fait que le formulaire indiquerait "énumérer les antécédents et motiver".</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bel et bien été motivée, le Ministère public y ayant indiqué les raisons l'ayant conduit à ordonner l'établissement du profil d'ADN du recourant, à savoir que ce dernier avait déjà été condamné pour des infractions aux art. 139, 144 et 160 CP.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w:t>
      </w:r>
    </w:p>
    <w:p>
      <w:r>
        <w:t>- 5/10 - P/29138/2025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faits susceptibles d'être constitutifs d'infractions aux art. 139, 144 et 160 CP, dès lors qu'il avait déjà été soupçonné pour des faits similaires.</w:t>
      </w:r>
    </w:p>
    <w:p>
      <w:r>
        <w:t>- 6/10 - P/29138/2025 À cet égard, il existe des indices sérieux et concrets de la commission, par le recourant, de tels actes punissables. En effet, il a été condamné à treize reprises entre janvier 2012 et avril 2025, notamment pour vol simple (6 fois: en 2012, 2013, 2017, 2018, 2022 et 2025), tentative de vol simple (3 fois: en 2018, 2022 et 2025), dommages à la propriété (3 fois: en 2017, 2018 et 2025), dommages à la propriété d'importance mineure (1 fois en 2018) et recel (1 fois en 2023). Dans la présente procédure, il se voit reprocher des faits susceptibles d'être constitutifs, notamment, d'appropriation illégitime (art. 137 CP) et de vol (art. 139 CP), au demeurant admis. À cela s'ajoutent des reproches réguliers de situation irrégulière en Suisse, étant à cet égard précisé qu'il a été condamné à six reprises pour séjour illégal (en 2012, 2013, 2014, 2017 et 2018) et à neuf reprises pour rupture de ban (entre 2018 et 2025). Il a par ailleurs été condamné, par jugement du Tribunal de police du 17 avril 2024, pour rupture de ban (art. 291 al. 1 CP), lequel fait actuellement l'objet d'un appel. Ces éléments laissent craindre un ancrage dans la délinquance liée aux infractions contre le patrimoine et permettent de penser que l'intéressé pourrait être, quoiqu’il en dise, impliqué dans d'autres infractions de cette nature encore inconnues des autorités, qui pourraient lui être attribuées si l'on était en mesure de comparer son profil d'ADN à des traces prélevées sur les lieux de leur commission. Les infractions aux art. 139, 144 et 160 CP susceptibles d'être élucidées revêtent également une certaine gravité. Il s'agit d'ailleurs de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aux art. 139, 144 et 160 CP – qui ont conduit le Ministère public à ordonner à nouveau l'établissement du profil d'ADN du recourant, afin d'en prolonger d'autant la date</w:t>
      </w:r>
    </w:p>
    <w:p>
      <w:r>
        <w:t>- 7/10 - P/29138/2025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Il s'ensuit que l'ordonnance querellée ne prête pas le flanc à la critique, les réquisits pour le prononcé de l'établissement du profil d'ADN du recourant étant réunis.</w:t>
      </w:r>
    </w:p>
    <w:p>
      <w:r>
        <w:t>- 8/10 - P/29138/2025</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Corrélativement, aucun dépens ne lui sera alloué (ATF 144 IV 207, consid. 1.8.2). * * * * *</w:t>
      </w:r>
    </w:p>
    <w:p>
      <w:r>
        <w:t>- 9/10 - P/29138/2025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