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ACPR/399/2023 vom 4. Mai 2023</w:t>
      </w:r>
    </w:p>
    <w:p>
      <w:r>
        <w:t>GE Cour de justice, 2023-05-04, FR</w:t>
      </w:r>
    </w:p>
    <w:p>
      <w:r>
        <w:rPr>
          <w:b/>
        </w:rPr>
        <w:t xml:space="preserve">Quelle: </w:t>
      </w:r>
      <w:r>
        <w:t>https://mcp.opencaselaw.ch/entscheid/ge_gerichte_ACPR_399_2023</w:t>
      </w:r>
    </w:p>
    <w:p>
      <w:r>
        <w:t>FR: GE_GERICHTE ACPR/399/2023 du 4 mai 2023</w:t>
      </w:r>
    </w:p>
    <w:p>
      <w:r>
        <w:t>IT: GE_GERICHTE ACPR/399/2023 del 4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- 5/10 - P/5031/2023</w:t>
      </w:r>
    </w:p>
    <w:p>
      <w:r>
        <w:rPr>
          <w:b/>
        </w:rPr>
        <w:t>E. 2</w:t>
      </w:r>
    </w:p>
    <w:p>
      <w:r>
        <w:t>Le recourant ne conteste pas les charges qui lui ont été signifiées par le Ministère public à l'audience du 5 mars 2023, constitutives de dommages à la propriété (art. 144 CP) et de violence ou menace contre les autorités et les fonctionnaires (art. 285 CP), même s'il en minimise la gravité. Partant, il n'y pas lieu d'y revenir. Ces charges – qui se fondent sur les constatations de la police et les images de vidéosurveillance – sont quoi qu'il en soit suffisantes au sens de l'art. 221 al. 1 CPP pour justifier le maintien en détention provisoire du recourant. Elles sont également graves, ce que la Chambre de céans a déjà retenu dans son précédent arrêt.</w:t>
      </w:r>
    </w:p>
    <w:p>
      <w:r>
        <w:rPr>
          <w:b/>
        </w:rPr>
        <w:t>E. 3</w:t>
      </w:r>
    </w:p>
    <w:p>
      <w:r>
        <w:t>Le recourant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Le prévenu présente un risque fuite concret, considérant l'absence de titre de séjour et d'attache en Suisse, ce qui a déjà été retenu par la Chambre de céans. Le statut "officiel" dont il se prévaut ne lui confère aucun droit de résider en Suisse, tout comme l'hébergement dans un foyer, une assurance maladie ou un abonnement de transport. Les problèmes médicaux invoqués ne sauraient l'empêcher de se soustraire à la procédure pénale, étant souligné qu'il pourrait également bénéficier d'un traitement dans son pays d'origine. On ne voit pas quelle mesure de substitution serait de nature à pallier un risque de fuite aussi important. L'admission du risque de fuite dispense d'examiner ce qu'il en serait du risque de réitération.</w:t>
      </w:r>
    </w:p>
    <w:p>
      <w:r>
        <w:rPr>
          <w:b/>
        </w:rPr>
        <w:t>E. 4</w:t>
      </w:r>
    </w:p>
    <w:p>
      <w:r>
        <w:t>Le recourant invoque une violation du principe de la célérité.</w:t>
      </w:r>
    </w:p>
    <w:p>
      <w:r>
        <w:t>- 6/10 - P/5031/2023</w:t>
      </w:r>
    </w:p>
    <w:p>
      <w:r>
        <w:rPr>
          <w:b/>
        </w:rPr>
        <w:t>E. 4.1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4.2</w:t>
      </w:r>
    </w:p>
    <w:p>
      <w:r>
        <w:t>En l'espèce, prise dans son ensemble, la procédure ne paraît pas violer le principe de la célérité, étant rappelé qu'elle porte désormais également sur les faits des 2 et 27 octobre 2022 suite à l'opposition formée à l’ordonnance pénale du 28 octobre 2022. Si le Ministère public aurait certes pu entendre plus tôt le prévenu sur les motifs de son opposition, on ne saurait voir là un manquement au principe en question. Il a du reste déjà convoqué l'audience du 26 mai 2023 pour la confrontation avec les policiers (faits intégralement contestés par le prévenu), l'entendre sur la totalité des charges, voire le prévenir d'infraction à la loi sur les étrangers. On devrait ensuite pouvoir escompter que le Ministère public décide rapidement de la suite à donner à la présente procédure. Les principes jurisprudentiels sus-rappelés étant respectés, le grief du recourant est infondé.</w:t>
      </w:r>
    </w:p>
    <w:p>
      <w:r>
        <w:t>- 7/10 - P/5031/2023</w:t>
      </w:r>
    </w:p>
    <w:p>
      <w:r>
        <w:rPr>
          <w:b/>
        </w:rPr>
        <w:t>E. 5</w:t>
      </w:r>
    </w:p>
    <w:p>
      <w:r>
        <w:t>Le recourant considère que la prolongation de la détention provisoire pour 45 jours, est excessive.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l'occurrence, la durée de la détention subie à ce jour, augmentée de la prolongation querellée, n'atteint pas la peine à laquelle il pourrait être condamné s'il était reconnu coupable de toutes les préventions retenues contre lui vu ses antécédents notamment spécifiques (cf. art. 212 al. 3 CPP), étant souligné qu'il s'expose à une peine privative de liberté de 100 jours pour les faits de 2022 (vol et dommages à la propriété), qu'il est mis en cause pour un autre dommage à la propriété (sur un motocycle) ainsi que pour violence ou menace contre les autorités et les fonctionnaires, soit des infractions passibles également d'une peine privative de liberté.</w:t>
      </w:r>
    </w:p>
    <w:p>
      <w:r>
        <w:t>La prolongation de la détention provisoire, pour une durée de 45 jours, est nécessaire au Ministère public pour procéder aux derniers actes d'enquête annoncés, décider de la suite à donner à la procédure, voire pour la clôturer par le renvoi en jugement du recourant. Il s'ensuit que la prolongation ordonnée ne viole pas le principe de la proportionnalité.</w:t>
      </w:r>
    </w:p>
    <w:p>
      <w:r>
        <w:rPr>
          <w:b/>
        </w:rPr>
        <w:t>E. 6</w:t>
      </w:r>
    </w:p>
    <w:p>
      <w:r>
        <w:t>Le recours s'avère infondé et doit être rejeté.</w:t>
      </w:r>
    </w:p>
    <w:p>
      <w:r>
        <w:rPr>
          <w:b/>
        </w:rPr>
        <w:t>E. 7</w:t>
      </w:r>
    </w:p>
    <w:p>
      <w:r>
        <w:t>Le recourant, qui succombe, supportera les frais envers l'État, arrêtés à CHF 900.- (art. 428 al. 1 CPP et 13 al. 1 du Règlement fixant le tarif des frais en matière pénale, RTFMP; E 4 10.03).</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w:t>
      </w:r>
    </w:p>
    <w:p>
      <w:r>
        <w:t>- 8/10 - P/5031/2023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soulève en partie les mêmes griefs que ceux pour lesquels il avait succombé dans l'arrêt du 4 avril 2023, on peut admettre que l'exercice de ce deuxième recours ne procède pas d'un abus. L'indemnité du défenseur d'office sera fixée à la fin de la procédure (art. 135 al. 2 CPP). * * * * *</w:t>
      </w:r>
    </w:p>
    <w:p>
      <w:r>
        <w:t>- 9/10 - P/5031/2023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