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ACPR/399/2019 vom 20. Februar 2019</w:t>
      </w:r>
    </w:p>
    <w:p>
      <w:r>
        <w:t>GE Cour de justice, 2019-02-20, FR</w:t>
      </w:r>
    </w:p>
    <w:p>
      <w:r>
        <w:rPr>
          <w:b/>
        </w:rPr>
        <w:t xml:space="preserve">Quelle: </w:t>
      </w:r>
      <w:r>
        <w:t>https://mcp.opencaselaw.ch/entscheid/ge_gerichte_ACPR_399_2019</w:t>
      </w:r>
    </w:p>
    <w:p>
      <w:r>
        <w:t>FR: GE_GERICHTE ACPR/399/2019 du 20 février 2019</w:t>
      </w:r>
    </w:p>
    <w:p>
      <w:r>
        <w:t>IT: GE_GERICHTE ACPR/399/2019 del 20 febbraio 2019</w:t>
      </w:r>
    </w:p>
    <w:p>
      <w:pPr>
        <w:pStyle w:val="Heading2"/>
      </w:pPr>
      <w:r>
        <w:t>Erwägungen</w:t>
      </w:r>
    </w:p>
    <w:p>
      <w:r>
        <w:rPr>
          <w:b/>
        </w:rPr>
        <w:t>E. 1.1</w:t>
      </w:r>
    </w:p>
    <w:p>
      <w:r>
        <w:t>Le recours a été déposé dans le délai prescrit – les formalités de notification (art. 85 al. 2 CPP) n'ayant pas été observées – (art.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1.2</w:t>
      </w:r>
    </w:p>
    <w:p>
      <w:r>
        <w:t>Bien que l'acte de recours ne contient pas de conclusions formelles (art. 385 al. 1 CPP), on comprend que le recourant – qui agit en personne – souhaite l'annulation de l'ordonnance querellée et l'ouverture d'une instruction. Partant, le recours est recevable.</w:t>
      </w:r>
    </w:p>
    <w:p>
      <w:r>
        <w:rPr>
          <w:b/>
        </w:rPr>
        <w:t>E. 1.3</w:t>
      </w:r>
    </w:p>
    <w:p>
      <w:r>
        <w:t>Les faits et moyens de preuve nouveaux sont recevables devant l'instance de recours, de sorte que les documents transmis par le recourant à la Chambre de céans, postérieurement à l'échéance du délai de recours, seront admis (arrêts du Tribunal fédéral 1B_368/2014 du 5 février 2015 consid. 3.1 et 3.2 et les références citées).</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Ministère public de ne pas être entré en matière sur sa plainte pénale, puisqu'il estime que le Collège B______ a mis sa vie en danger, "en toute connaissance de cause".</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w:t>
      </w:r>
    </w:p>
    <w:p>
      <w:r>
        <w:t>- 7/11 - P/3093/2019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w:t>
      </w:r>
    </w:p>
    <w:p>
      <w:r>
        <w:rPr>
          <w:b/>
        </w:rPr>
        <w:t>E. 3.2</w:t>
      </w:r>
    </w:p>
    <w:p>
      <w:r>
        <w:t>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w:t>
      </w:r>
    </w:p>
    <w:p>
      <w:r>
        <w:t>- 8/11 - P/3093/2019 risque admissible. En second lieu, la violation du devoir de prudence doit être fautive, c'est-à-dire qu'il faut pouvoir reprocher à l'auteur une inattention ou un manque d'effort blâmable (ATF 135 IV 56 consid. 2.1 p. 64; 134 IV 255 consid. 4.2.3 p. 262; 129 IV 119 consid. 2.1 p. 121).</w:t>
      </w:r>
    </w:p>
    <w:p>
      <w:r>
        <w:rPr>
          <w:b/>
        </w:rPr>
        <w:t>E. 3.2.1</w:t>
      </w:r>
    </w:p>
    <w:p>
      <w:r>
        <w:t>L'art. 129 CP réprime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une composante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p. 14 ; arrêt 6B_876/2015 du 2 mai 2016 consid. 2.1 non publié aux ATF 142 IV 245 ; arrêt 6B_835/2018 du 8 novembre 2018 consid. 1.1.1 et les références).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p. 165 ; arrêt 6B_876/2015 du 2 mai 2016 consid. 2.1 non publié aux ATF 142 IV 245 ; arrêt 6B_835/2018 du 8 novembre 2018 consid. 1.1.3 et les références).</w:t>
      </w:r>
    </w:p>
    <w:p>
      <w:r>
        <w:rPr>
          <w:b/>
        </w:rPr>
        <w:t>E. 3.2.2</w:t>
      </w:r>
    </w:p>
    <w:p>
      <w:r>
        <w:t>Dans le cas d'espèce, il est indéniable que le recourant souffre, depuis l'enfance, d'allergies sévères et d'asthme et que son environnement – y compris scolaire – doit être adapté depuis son plus jeune âge. Il semble néanmoins tout aussi manifeste que ses réactions allergiques graves ne sauraient être imputées à un manque de prudence coupable du Collège B______. Il apparaît en effet, au vu des différents documents versés au dossier, que le Collège B______ l'a reçu au moins à deux reprises afin de trouver une solution afin qu'il puisse terminer ses études dans des conditions adéquates. Des analyses de la qualité de l'air ont été effectuées, dont les résultats ont révélé que les lieux ne présentaient, en particulier dans la classe 1______, aucun risque pour la santé du recourant. Ayant agi de manière adéquate et proportionnée, aucune négligence ne saurait être imputée au Collège, au sens de l'art. 125 CP. L'existence d'un lien de causalité entre le</w:t>
      </w:r>
    </w:p>
    <w:p>
      <w:r>
        <w:t>- 9/11 - P/3093/2019 comportement de ce dernier et les malaises dont a été victime le recourant n'est ni étayée ni rendue vraisemblable. L'absence de scrupule n'est manifestement pas réalisée. Force est donc de constater que les éléments constitutifs des infractions précitées ne paraissent pas réunis, ce qui autorisait le Ministère public à refuser d'entrer en matière. 3.3.1 Enfin, l'art. 127 CP vise celui qui, ayant la garde d'une personne hors d'état de se protéger elle-même ou le devoir de veiller sur elle, l'aura exposée à un danger de mort ou à un danger grave et imminent pour la santé, ou l'aura abandonnée en un tel danger. L'objet de l'infraction est un tiers hors d'état de se protéger lui-même, à savoir une personne qui, dans une situation précise, n'est pas en mesure de sauvegarder ou de retrouver son intégrité corporelle ou sa santé. Un tel état peut résulter de circonstances diverses telles que le jeune âge, la maladie, l'influence de substances psychotropes, l'inexpérience dans un domaine technique ou encore la méconnaissance d'un danger difficile à déceler (M. DUPUIS / L. MOREILLON / C. PIGUET / S. BERGER / M. MAZOU / V. RODIGARI (éds), Code pénal - Petit commentaire, 2e éd., Bâle 2017, n. 6 ad art. 127). La mise en danger, concrète, doit être intentionnelle (B. CORBOZ, Les infractions en droit suisse, vol. I, 3e éd., Berne 2010, n. 9 et 15 ad art. 127 et les références citées). 3.3.2 En l'espèce, le recourant n'entre à l'évidence pas dans l'une ou l'autre des catégories de victimes potentielles visées par l'art. 127 CP. Il est par ailleurs manifeste que le Collège B______ n'a jamais eu le dessein de mettre en danger sa santé, tel qu'il a été précédemment exposé.</w:t>
      </w:r>
    </w:p>
    <w:p>
      <w:r>
        <w:rPr>
          <w:b/>
        </w:rPr>
        <w:t>E. 4</w:t>
      </w:r>
    </w:p>
    <w:p>
      <w:r>
        <w:t>Justifiée, l'ordonnance querellée sera donc confirmée.</w:t>
      </w:r>
    </w:p>
    <w:p>
      <w:r>
        <w:rPr>
          <w:b/>
        </w:rPr>
        <w:t>E. 5</w:t>
      </w:r>
    </w:p>
    <w:p>
      <w:r>
        <w:t>Le recourant, qui succombe, supportera les frais envers l'État, fixés en totalité à CHF 700.- (art. 428 al. 1 CPP et 13 al. 1 du Règlement fixant le tarif des frais en matière pénale, RTFMP ; E 4 10.03).</w:t>
      </w:r>
    </w:p>
    <w:p>
      <w:r>
        <w:t>* * * * *</w:t>
      </w:r>
    </w:p>
    <w:p>
      <w:r>
        <w:t>- 10/11 - P/3093/2019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