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ACPR/398/2023 vom 3. Februar 2023</w:t>
      </w:r>
    </w:p>
    <w:p>
      <w:r>
        <w:t>GE Cour de justice, 2023-02-03, FR</w:t>
      </w:r>
    </w:p>
    <w:p>
      <w:r>
        <w:rPr>
          <w:b/>
        </w:rPr>
        <w:t xml:space="preserve">Quelle: </w:t>
      </w:r>
      <w:r>
        <w:t>https://mcp.opencaselaw.ch/entscheid/ge_gerichte_ACPR_398_2023</w:t>
      </w:r>
    </w:p>
    <w:p>
      <w:r>
        <w:t>FR: GE_GERICHTE ACPR/398/2023 du 3 février 2023</w:t>
      </w:r>
    </w:p>
    <w:p>
      <w:r>
        <w:t>IT: GE_GERICHTE ACPR/398/2023 del 3 febbraio 2023</w:t>
      </w:r>
    </w:p>
    <w:p>
      <w:pPr>
        <w:pStyle w:val="Heading2"/>
      </w:pPr>
      <w:r>
        <w:t>Erwägungen</w:t>
      </w:r>
    </w:p>
    <w:p>
      <w:r>
        <w:rPr>
          <w:b/>
        </w:rPr>
        <w:t>E. 1</w:t>
      </w:r>
    </w:p>
    <w:p>
      <w:r>
        <w:t>Le recours est recevable pour avoir été déposé selon la forme et dans le délai prescrits (art. 3 al. 1 PPMin cum 396 al. 1, 390 al. 1 et 385 al. 1 CPP), contre une ordonnance de séquestre (art. 3 al. 1 PPMin cum 263 CPP), décision sujette à contestation auprès de la Chambre de céans (art. 39 al. 1 et 3 PPMin cum 393 al. 1 let. a CPP), et émaner du prévenu mineur (art. 18 let. a PPMin), qui est représenté par</w:t>
      </w:r>
    </w:p>
    <w:p>
      <w:r>
        <w:t>- 4/7 - P/933/2023 son père (art. 106 al. 2 CPP) et a qualité pour agir, disposant d'un intérêt juridiquement protégé (art. 38 al. 3 PPMin cum 382 CPP).</w:t>
      </w:r>
    </w:p>
    <w:p>
      <w:r>
        <w:rPr>
          <w:b/>
        </w:rPr>
        <w:t>E. 2</w:t>
      </w:r>
    </w:p>
    <w:p>
      <w:r>
        <w:t>L'apport de la procédure P/1______/2022 n'apparaît pas utile au vu de ce qui suit.</w:t>
      </w:r>
    </w:p>
    <w:p>
      <w:r>
        <w:rPr>
          <w:b/>
        </w:rPr>
        <w:t>E. 3</w:t>
      </w:r>
    </w:p>
    <w:p>
      <w:r>
        <w:t>Le recourant estime que le séquestre de son téléphone portable n'est ni nécessaire ni proportionné.</w:t>
      </w:r>
    </w:p>
    <w:p>
      <w:r>
        <w:rPr>
          <w:b/>
        </w:rPr>
        <w:t>E. 3.1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3.2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Bâle 2019, n. 17/22 ad art. 263).</w:t>
      </w:r>
    </w:p>
    <w:p>
      <w:r>
        <w:rPr>
          <w:b/>
        </w:rPr>
        <w:t>E. 3.3</w:t>
      </w:r>
    </w:p>
    <w:p>
      <w:r>
        <w:t>Dans le cas présent, le recourant est certes prévenu pour des faits qui se sont déroulé le 11 novembre 2022, mais il n'établit pas que le téléphone séquestré aurait été acheté après sa mise en liberté du 8 février 2023, de sorte qu'il ne peut être exclu qu'il l'avait déjà au moment des faits voire peu après. En outre, même s'il l'avait acquis comme il le prétend, il convient de suivre le JMin qui considère vraisemblable que le recourant, rétif à donner des informations sur les coauteurs de l'agression, ait</w:t>
      </w:r>
    </w:p>
    <w:p>
      <w:r>
        <w:t>- 5/7 - P/933/2023 eu des contacts avec eux de sorte que l'analyse de ce téléphone présente donc une utilité pour la manifestation de la vérité et les données qu'il contient sont des éléments de preuve. Il s'ensuit que le séquestre est nécessaire et proportionné.</w:t>
      </w:r>
    </w:p>
    <w:p>
      <w:r>
        <w:rPr>
          <w:b/>
        </w:rPr>
        <w:t>E. 4</w:t>
      </w:r>
    </w:p>
    <w:p>
      <w:r>
        <w:t>Justifiée, l'ordonnance querellée sera donc confirmée.</w:t>
      </w:r>
    </w:p>
    <w:p>
      <w:r>
        <w:rPr>
          <w:b/>
        </w:rPr>
        <w:t>E. 5</w:t>
      </w:r>
    </w:p>
    <w:p>
      <w:r>
        <w:t>Le recourant, qui succombe, supportera les frais envers l'État fixés en totalité à CHF 500.- (art. 428 al. 1 CPP et 13 al. 1 du Règlement fixant le tarif des frais en matière pénale, RTFMP ; E 4 10.03).</w:t>
      </w:r>
    </w:p>
    <w:p>
      <w:r>
        <w:rPr>
          <w:b/>
        </w:rPr>
        <w:t>E. 6</w:t>
      </w:r>
    </w:p>
    <w:p>
      <w:r>
        <w:t>L'indemnité du défenseur d'office sera fixée à la fin de la procédure (art. 135 al. 2 CPP). * * * * *</w:t>
      </w:r>
    </w:p>
    <w:p>
      <w:r>
        <w:t>- 6/7 - P/933/2023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