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ACPR/398/2019 vom 5. April 2019</w:t>
      </w:r>
    </w:p>
    <w:p>
      <w:r>
        <w:t>GE Cour de justice, 2019-04-05, FR</w:t>
      </w:r>
    </w:p>
    <w:p>
      <w:r>
        <w:rPr>
          <w:b/>
        </w:rPr>
        <w:t xml:space="preserve">Quelle: </w:t>
      </w:r>
      <w:r>
        <w:t>https://mcp.opencaselaw.ch/entscheid/ge_gerichte_ACPR_398_2019</w:t>
      </w:r>
    </w:p>
    <w:p>
      <w:r>
        <w:t>FR: GE_GERICHTE ACPR/398/2019 du 5 avril 2019</w:t>
      </w:r>
    </w:p>
    <w:p>
      <w:r>
        <w:t>IT: GE_GERICHTE ACPR/398/2019 del 5 aprile 2019</w:t>
      </w:r>
    </w:p>
    <w:p>
      <w:pPr>
        <w:pStyle w:val="Heading2"/>
      </w:pPr>
      <w:r>
        <w:t>Erwägungen</w:t>
      </w:r>
    </w:p>
    <w:p>
      <w:r>
        <w:rPr>
          <w:b/>
        </w:rPr>
        <w:t>E. 1</w:t>
      </w:r>
    </w:p>
    <w:p>
      <w:r>
        <w:t>al. 1 let. b LJF; J 1 45). Dès lors, ce recours, expédié le premier jour ouvrable suivant, a été formé en temps utile (art. 90 al. 2 CPP). Cette solution profitera au recours exercé, dans le même acte, par A______, pour qui la date de notification de l'ordonnance querellée, au sens de l'art. 85 al. 2 CP, n'est pas établie.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recours au sens de l'art. 393 al. 1 let. a CPP ne peut porter que sur une décision préalablement rendue par le Ministère public. Or, l'infraction de contrainte n'en fait pas partie, pour la bonne et simple raison qu'aucun des deux recourants, dans leurs plaintes pénales respectives, ne l'a jamais invoquée. Il n'y a donc pas à entrer en matière sur cet aspect.</w:t>
      </w:r>
    </w:p>
    <w:p>
      <w:r>
        <w:rPr>
          <w:b/>
        </w:rPr>
        <w:t>E. 4.1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w:t>
      </w:r>
    </w:p>
    <w:p>
      <w:r>
        <w:t>- 5/9 - P/13503/2017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4.2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w:t>
      </w:r>
    </w:p>
    <w:p>
      <w:r>
        <w:rPr>
          <w:b/>
        </w:rPr>
        <w:t>E. 5</w:t>
      </w:r>
    </w:p>
    <w:p>
      <w:r>
        <w:t>Pour ce qui est des débuts de la bagarre et des propos et de la violence prêtés à C______, il n'existe aucun témoin. C______ a été vu se faire battre sur tout le corps par l'agresseur muni d'un bâton et a été entendu appeler de l'aide. B______ a, certes, déposé un certificat médical, mais ce document, daté de dix jours après les faits, ne mentionne qu'un hématome à la fesse, et non des blessures au visage, au bras et à la cuisse, comme alléguées dans la plainte pénale; l'hématome datait "de quelques jours", sans être corrélé à une bagarre – et n'en serait d'ailleurs pas à lui seul un indice suffisant –. C______ a, certes, déclaré à la police avoir donné un coup de poing "en direction" du visage de A______, "pour se défendre", mais rien ne prouve qu'il ait atteint celui-ci – qui n'a pas produit de certificat médical – ou fait davantage que se défendre. C'est sans doute pour cette raison que le Ministère public a renoncé à la prévention de rixe (art. 133 CP), qui présuppose des actes de violence physique échangés entre tous les protagonistes, sans que l'un d'eux n'ait fait que se défendre (M. DUPUIS /</w:t>
      </w:r>
    </w:p>
    <w:p>
      <w:r>
        <w:t>- 6/9 - P/13503/2017 L. MOREILLON / C. PIGUET / S. BERGER / M. MAZOU / V. RODIGARI (éds), Code pénal - Petit commentaire, 2e éd., Bâle 2017, n. 5 s. ad art. 133). Cela étant, la version soutenue par les recourants ne suffirait pas à leur éviter la mise en accusation, car, si elle était suivie, elle ferait renaître cette prévention contre eux, sans pour autant rendre C______ punissable (art. 133 al. 2 CP). Que l'un des recourants ait confirmé en audience les accusations de l'autre est insuffisant, même sous l'angle du principe "in dubio pro duriore", car chacun d'eux avait intérêt – ne serait-ce que parce que la peine menace de la rixe est inférieure – à montrer qu'il n'était pas un agresseur au sens de l'art. 134 CP, c'est-à-dire auteur ou participant à des actes de violence à caractère unilatéral, exercées contre une victime demeurée essentiellement passive (op. cit., n. 4 ad art. 134). En résumé, les déclarations des recourants et les pièces qu'ils ont produites les font apparaître moins crédibles que C______ et les pièces qu'il a produites. C'est donc à juste titre que la prévention de lésions corporelles (simples) – ou de participation à une rixe – n'a pas été retenue contre ce dernier (art. 319 al. 1 let. a CPP).</w:t>
      </w:r>
    </w:p>
    <w:p>
      <w:r>
        <w:rPr>
          <w:b/>
        </w:rPr>
        <w:t>E. 6</w:t>
      </w:r>
    </w:p>
    <w:p>
      <w:r>
        <w:t>Il est vrai que, dans la décision querellée, le Ministère public paraît s'être essentiellement attaché aux circonstances qui précèdent, soit celles dans lesquelles les recourants affirment avoir reçu des coups. Mais, il a aussi expliqué qu'il ne retenait pas les faits non objectivés par des témoins directs. Il faut en conclure qu'il a implicitement écarté, pour ce motif, toute autre prévention que les lésions corporelles sur lesquelles il se prononce expressément dans la décision attaquée.</w:t>
      </w:r>
    </w:p>
    <w:p>
      <w:r>
        <w:rPr>
          <w:b/>
        </w:rPr>
        <w:t>E. 7</w:t>
      </w:r>
    </w:p>
    <w:p>
      <w:r>
        <w:t>Or, pour ce qui est des menaces alléguées par les recourants, leur accusation ne repose que sur le procès-verbal de confrontation, du 6 septembre 2017. Ce texte montre tout au plus que C______ les aurait menacés après l'avoir été par eux (C-23). Le contenu de ses dires prétendus inquiétants n'est pas explicité, sauf par un sms controversé. La teneur exacte en langue française de ce message, reçu par B______ avant la bagarre, n'a ni été prouvée ni objectivée. Le seul point de convergence dans les deux versions en présence – s'affirmer issu d'une région spécifique du Kosovo – n'a pas non plus été établi comme la caractéristique, nécessairement perçue comme telle, d'une menace voilée entre gens provenant de cet État. Le contenu litigieux serait-il celui soutenu par les recourants, qu'on devrait en conclure qu'il ne les a en rien intimidés, au sens de l'art. 180 CP, puisqu'ils sont allés à la rencontre de C______, l'un d'eux muni d'un bâton et tous deux, comme le retient l'acte d'accusation, avec le concours d'un troisième protagoniste, demeuré inconnu. Par ailleurs, l'allégation (qui ne paraît pas clairement reprise dans l'acte de recours) selon laquelle C______ tenait ce jour-là une arme n'a pas été prouvée. Sous les yeux des témoins – qui n'ont pas vu d'arme –, les recourants étaient à la poursuite de</w:t>
      </w:r>
    </w:p>
    <w:p>
      <w:r>
        <w:t>- 7/9 - P/13503/2017 C______, celui-ci hurlait et cherchait du secours et un comparse resté à l'écart jusque-là est encore venu le frapper.</w:t>
      </w:r>
    </w:p>
    <w:p>
      <w:r>
        <w:rPr>
          <w:b/>
        </w:rPr>
        <w:t>E. 8</w:t>
      </w:r>
    </w:p>
    <w:p>
      <w:r>
        <w:t>L'ensemble de ces éléments montre qu'une mise en accusation de C______ se solderait plus probablement par un acquittement que par une condamnation. La position du Ministère public doit donc être approuvée, et le recours rejeté.</w:t>
      </w:r>
    </w:p>
    <w:p>
      <w:r>
        <w:rPr>
          <w:b/>
        </w:rPr>
        <w:t>E. 9</w:t>
      </w:r>
    </w:p>
    <w:p>
      <w:r>
        <w:t>Les recourants, qui succombent dans leurs conclusions, supporteront, solidairement (art. 418 al. 2 CPP), les frais envers l'État, qui comprendront un émolument de décision de CHF 1'200.- (art. 428 al. 1 CPP et 13 al. 1 du Règlement fixant le tarif des frais en matière pénale, RTFMP; E 4 10.03). * * * * *</w:t>
      </w:r>
    </w:p>
    <w:p>
      <w:r>
        <w:t>- 8/9 - P/13503/2017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